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D65F" w14:textId="40EA8B50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  <w:r w:rsidRPr="00C54DFB">
        <w:rPr>
          <w:rFonts w:ascii="Azo Sans Md" w:hAnsi="Azo Sans Md" w:cstheme="minorHAnsi"/>
          <w:b/>
        </w:rPr>
        <w:t>ANEXO V</w:t>
      </w:r>
    </w:p>
    <w:p w14:paraId="575DDB63" w14:textId="77777777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</w:p>
    <w:p w14:paraId="46B64F96" w14:textId="77777777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</w:p>
    <w:p w14:paraId="5B18198A" w14:textId="1140B67D" w:rsidR="001D32DF" w:rsidRPr="00C54DFB" w:rsidRDefault="001D32DF" w:rsidP="001D32DF">
      <w:pPr>
        <w:ind w:left="426" w:right="-17"/>
        <w:jc w:val="center"/>
        <w:rPr>
          <w:rFonts w:ascii="Azo Sans Md" w:hAnsi="Azo Sans Md" w:cstheme="minorHAnsi"/>
          <w:b/>
        </w:rPr>
      </w:pPr>
      <w:r w:rsidRPr="00C54DFB">
        <w:rPr>
          <w:rFonts w:ascii="Azo Sans Md" w:hAnsi="Azo Sans Md" w:cstheme="minorHAnsi"/>
          <w:b/>
        </w:rPr>
        <w:t>MINUTA DE TERMO DE CONTRATO DE COMPRA</w:t>
      </w:r>
    </w:p>
    <w:p w14:paraId="3308CDEE" w14:textId="77777777" w:rsidR="007F7B13" w:rsidRPr="00C54DFB" w:rsidRDefault="007F7B13">
      <w:pPr>
        <w:pStyle w:val="Ttulo2"/>
        <w:spacing w:before="1"/>
        <w:ind w:left="1276" w:right="1472" w:hanging="992"/>
        <w:jc w:val="center"/>
        <w:rPr>
          <w:rFonts w:ascii="Azo Sans Md" w:hAnsi="Azo Sans Md" w:cstheme="minorHAnsi"/>
          <w:sz w:val="22"/>
          <w:szCs w:val="22"/>
          <w:u w:val="none"/>
        </w:rPr>
      </w:pPr>
    </w:p>
    <w:p w14:paraId="73D0EA44" w14:textId="77777777" w:rsidR="007F7B13" w:rsidRPr="00C54DFB" w:rsidRDefault="007F7B13">
      <w:pPr>
        <w:pStyle w:val="Corpodetexto"/>
        <w:spacing w:before="10"/>
        <w:rPr>
          <w:rFonts w:ascii="Azo Sans Md" w:hAnsi="Azo Sans Md" w:cstheme="minorHAnsi"/>
          <w:b/>
          <w:sz w:val="22"/>
          <w:szCs w:val="22"/>
        </w:rPr>
      </w:pPr>
    </w:p>
    <w:p w14:paraId="1EADE88E" w14:textId="2C51BBD2" w:rsidR="001D32DF" w:rsidRPr="00C54DFB" w:rsidRDefault="001D32DF" w:rsidP="001D32DF">
      <w:pPr>
        <w:spacing w:line="276" w:lineRule="auto"/>
        <w:ind w:left="5103" w:right="-17"/>
        <w:jc w:val="both"/>
        <w:rPr>
          <w:rFonts w:ascii="Azo Sans Md" w:hAnsi="Azo Sans Md" w:cstheme="minorHAnsi"/>
          <w:b/>
        </w:rPr>
      </w:pPr>
      <w:r w:rsidRPr="00C54DFB">
        <w:rPr>
          <w:rFonts w:ascii="Azo Sans Md" w:hAnsi="Azo Sans Md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6E21BCF7" w14:textId="1EEC3F22" w:rsidR="001D4AC3" w:rsidRPr="00C54DFB" w:rsidRDefault="001D4AC3" w:rsidP="00B061E6">
      <w:pPr>
        <w:pStyle w:val="NormalWeb"/>
        <w:jc w:val="both"/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C54DFB">
        <w:rPr>
          <w:rFonts w:ascii="Azo Sans Md" w:hAnsi="Azo Sans Md" w:cstheme="minorHAnsi"/>
          <w:sz w:val="22"/>
          <w:szCs w:val="22"/>
        </w:rPr>
        <w:t xml:space="preserve">JOHNNY MAYCON CORDEIRO RIBEIRO, inscrito no CPF sob o nº </w:t>
      </w:r>
      <w:r w:rsidR="00BA2AC6" w:rsidRPr="00C54DFB">
        <w:rPr>
          <w:rFonts w:ascii="Azo Sans Md" w:hAnsi="Azo Sans Md" w:cs="Arial"/>
          <w:b/>
          <w:sz w:val="22"/>
          <w:szCs w:val="22"/>
        </w:rPr>
        <w:t>.........................................</w:t>
      </w:r>
      <w:r w:rsidRPr="00C54DFB">
        <w:rPr>
          <w:rFonts w:ascii="Azo Sans Md" w:hAnsi="Azo Sans Md" w:cstheme="minorHAnsi"/>
          <w:sz w:val="22"/>
          <w:szCs w:val="22"/>
        </w:rPr>
        <w:t xml:space="preserve">, doravante denominado CONTRATANTE, e o(a) .............................. inscrito(a) no CNPJ/MF sob o nº 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no 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 xml:space="preserve">Processo Administrativo nº </w:t>
      </w:r>
      <w:r w:rsidR="006E41E6">
        <w:rPr>
          <w:rFonts w:ascii="Azo Sans Md" w:hAnsi="Azo Sans Md" w:cstheme="minorHAnsi"/>
          <w:b/>
          <w:bCs/>
          <w:sz w:val="22"/>
          <w:szCs w:val="22"/>
        </w:rPr>
        <w:t>08.004/2020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C54DFB">
        <w:rPr>
          <w:rFonts w:ascii="Azo Sans Md" w:hAnsi="Azo Sans Md" w:cstheme="minorHAnsi"/>
          <w:sz w:val="22"/>
          <w:szCs w:val="22"/>
        </w:rPr>
        <w:t>e em observância às disposições da Lei nº 8.666, de 21 de junho de 1993 e da Lei nº 10.520  de 17 de julho de 2002, e na Lei nº 8.078, de 1990 - Código de Defesa do Consumidor,</w:t>
      </w:r>
      <w:r w:rsidR="006306EF" w:rsidRPr="00C54DFB">
        <w:rPr>
          <w:rFonts w:ascii="Azo Sans Md" w:hAnsi="Azo Sans Md" w:cstheme="minorHAnsi"/>
          <w:sz w:val="22"/>
          <w:szCs w:val="22"/>
        </w:rPr>
        <w:t xml:space="preserve"> do Decreto nº 7.892, de 23 de janeiro de 2013,</w:t>
      </w:r>
      <w:r w:rsidRPr="00C54DFB">
        <w:rPr>
          <w:rFonts w:ascii="Azo Sans Md" w:hAnsi="Azo Sans Md" w:cstheme="minorHAnsi"/>
          <w:i/>
          <w:sz w:val="22"/>
          <w:szCs w:val="22"/>
        </w:rPr>
        <w:t xml:space="preserve"> </w:t>
      </w:r>
      <w:r w:rsidRPr="00C54DFB">
        <w:rPr>
          <w:rFonts w:ascii="Azo Sans Md" w:hAnsi="Azo Sans Md" w:cstheme="minorHAnsi"/>
          <w:sz w:val="22"/>
          <w:szCs w:val="22"/>
        </w:rPr>
        <w:t xml:space="preserve">resolvem celebrar o presente Termo de Contrato, decorrente do 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>Pregão Eletrônico</w:t>
      </w:r>
      <w:r w:rsidR="000B23ED" w:rsidRPr="00C54DFB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5466C3" w:rsidRPr="00C54DFB">
        <w:rPr>
          <w:rFonts w:ascii="Azo Sans Md" w:hAnsi="Azo Sans Md" w:cstheme="minorHAnsi"/>
          <w:b/>
          <w:bCs/>
          <w:sz w:val="22"/>
          <w:szCs w:val="22"/>
        </w:rPr>
        <w:t xml:space="preserve">nº </w:t>
      </w:r>
      <w:r w:rsidR="006E41E6">
        <w:rPr>
          <w:rFonts w:ascii="Azo Sans Md" w:hAnsi="Azo Sans Md" w:cstheme="minorHAnsi"/>
          <w:b/>
          <w:bCs/>
          <w:sz w:val="22"/>
          <w:szCs w:val="22"/>
        </w:rPr>
        <w:t>042/2023</w:t>
      </w:r>
      <w:r w:rsidRPr="00C54DFB">
        <w:rPr>
          <w:rFonts w:ascii="Azo Sans Md" w:hAnsi="Azo Sans Md" w:cstheme="minorHAnsi"/>
          <w:sz w:val="22"/>
          <w:szCs w:val="22"/>
        </w:rPr>
        <w:t>, mediante as cláusulas e condições a seguir enunciadas.</w:t>
      </w:r>
    </w:p>
    <w:p w14:paraId="22B320CE" w14:textId="4CFE31A3" w:rsidR="001A0D41" w:rsidRPr="00C54DFB" w:rsidRDefault="001A0D41" w:rsidP="001D32DF">
      <w:pPr>
        <w:pStyle w:val="Nivel01"/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1 - </w:t>
      </w:r>
      <w:r w:rsidR="001D32DF" w:rsidRPr="00C54DFB">
        <w:rPr>
          <w:rFonts w:ascii="Azo Sans Md" w:hAnsi="Azo Sans Md" w:cstheme="minorHAnsi"/>
          <w:sz w:val="22"/>
          <w:szCs w:val="22"/>
        </w:rPr>
        <w:t>CLÁUSULA PRIMEIRA – OBJETO</w:t>
      </w:r>
    </w:p>
    <w:p w14:paraId="6EF57C0A" w14:textId="20A2A969" w:rsidR="001D32DF" w:rsidRPr="00C54DFB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Md" w:hAnsi="Azo Sans Md" w:cstheme="minorHAnsi"/>
          <w:b w:val="0"/>
          <w:sz w:val="22"/>
          <w:szCs w:val="22"/>
        </w:rPr>
      </w:pPr>
      <w:r w:rsidRPr="00C54DFB">
        <w:rPr>
          <w:rFonts w:ascii="Azo Sans Md" w:hAnsi="Azo Sans Md" w:cstheme="minorHAnsi"/>
          <w:b w:val="0"/>
          <w:sz w:val="22"/>
          <w:szCs w:val="22"/>
        </w:rPr>
        <w:t xml:space="preserve">O objeto do presente Termo de Contrato é </w:t>
      </w:r>
      <w:r w:rsidR="006E41E6" w:rsidRPr="006E41E6">
        <w:rPr>
          <w:rFonts w:ascii="Azo Sans Md" w:hAnsi="Azo Sans Md" w:cstheme="minorHAnsi"/>
          <w:bCs w:val="0"/>
          <w:sz w:val="22"/>
          <w:szCs w:val="22"/>
          <w:lang w:val="pt-PT"/>
        </w:rPr>
        <w:t>Aquisição de Equipamentos Médicos para atender às necessidades do Hospital Municipal Raul Sertã</w:t>
      </w:r>
      <w:r w:rsidR="001272CC" w:rsidRPr="00C54DFB">
        <w:rPr>
          <w:rFonts w:ascii="Azo Sans Md" w:hAnsi="Azo Sans Md" w:cstheme="minorHAnsi"/>
          <w:b w:val="0"/>
          <w:sz w:val="22"/>
          <w:szCs w:val="22"/>
        </w:rPr>
        <w:t xml:space="preserve">, </w:t>
      </w:r>
      <w:r w:rsidR="005466C3" w:rsidRPr="00C54DFB">
        <w:rPr>
          <w:rFonts w:ascii="Azo Sans Md" w:hAnsi="Azo Sans Md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Pr="00C54DFB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Md" w:hAnsi="Azo Sans Md" w:cstheme="minorHAnsi"/>
          <w:b w:val="0"/>
          <w:sz w:val="22"/>
          <w:szCs w:val="22"/>
        </w:rPr>
      </w:pPr>
      <w:r w:rsidRPr="00C54DFB">
        <w:rPr>
          <w:rFonts w:ascii="Azo Sans Md" w:hAnsi="Azo Sans Md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C54DFB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Md" w:hAnsi="Azo Sans Md" w:cstheme="minorHAnsi"/>
          <w:b w:val="0"/>
          <w:sz w:val="22"/>
          <w:szCs w:val="22"/>
        </w:rPr>
      </w:pPr>
      <w:r w:rsidRPr="00C54DFB">
        <w:rPr>
          <w:rFonts w:ascii="Azo Sans Md" w:hAnsi="Azo Sans Md" w:cstheme="minorHAnsi"/>
          <w:b w:val="0"/>
          <w:sz w:val="22"/>
          <w:szCs w:val="22"/>
        </w:rPr>
        <w:t>Discriminação do objeto:</w:t>
      </w:r>
    </w:p>
    <w:p w14:paraId="68482778" w14:textId="77777777" w:rsidR="005E2922" w:rsidRPr="00C54DFB" w:rsidRDefault="005E2922" w:rsidP="006306EF">
      <w:pPr>
        <w:pStyle w:val="Nivel01"/>
        <w:rPr>
          <w:rFonts w:ascii="Azo Sans Md" w:hAnsi="Azo Sans Md" w:cstheme="minorHAnsi"/>
          <w:b w:val="0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"/>
        <w:gridCol w:w="1254"/>
        <w:gridCol w:w="2146"/>
        <w:gridCol w:w="863"/>
        <w:gridCol w:w="930"/>
        <w:gridCol w:w="935"/>
        <w:gridCol w:w="1225"/>
        <w:gridCol w:w="896"/>
      </w:tblGrid>
      <w:tr w:rsidR="006306EF" w:rsidRPr="00C54DFB" w14:paraId="30136ED5" w14:textId="77777777" w:rsidTr="00436587">
        <w:trPr>
          <w:jc w:val="center"/>
        </w:trPr>
        <w:tc>
          <w:tcPr>
            <w:tcW w:w="449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QTDE.</w:t>
            </w:r>
          </w:p>
        </w:tc>
        <w:tc>
          <w:tcPr>
            <w:tcW w:w="1169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PREÇO</w:t>
            </w:r>
          </w:p>
        </w:tc>
      </w:tr>
      <w:tr w:rsidR="006306EF" w:rsidRPr="00C54DFB" w14:paraId="32CDD99B" w14:textId="77777777" w:rsidTr="00436587">
        <w:trPr>
          <w:jc w:val="center"/>
        </w:trPr>
        <w:tc>
          <w:tcPr>
            <w:tcW w:w="449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C54DFB" w:rsidRDefault="006306EF" w:rsidP="0081357F">
            <w:pPr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C54DFB" w:rsidRDefault="006306EF" w:rsidP="0081357F">
            <w:pPr>
              <w:pStyle w:val="PargrafodaLista"/>
              <w:ind w:left="0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TOTAL</w:t>
            </w:r>
          </w:p>
        </w:tc>
      </w:tr>
      <w:tr w:rsidR="006306EF" w:rsidRPr="00C54DFB" w14:paraId="550069E0" w14:textId="77777777" w:rsidTr="006306EF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C54DFB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Md" w:hAnsi="Azo Sans Md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C54DFB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</w:p>
        </w:tc>
      </w:tr>
      <w:tr w:rsidR="006306EF" w:rsidRPr="00C54DFB" w14:paraId="6E38BB35" w14:textId="77777777" w:rsidTr="00436587">
        <w:trPr>
          <w:trHeight w:val="284"/>
          <w:jc w:val="center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1</w:t>
            </w:r>
          </w:p>
        </w:tc>
        <w:tc>
          <w:tcPr>
            <w:tcW w:w="692" w:type="pct"/>
          </w:tcPr>
          <w:p w14:paraId="42C4E778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b/>
                <w:bCs/>
                <w:sz w:val="20"/>
                <w:szCs w:val="20"/>
              </w:rPr>
            </w:pPr>
          </w:p>
        </w:tc>
      </w:tr>
      <w:tr w:rsidR="006306EF" w:rsidRPr="00C54DFB" w14:paraId="065DCD74" w14:textId="77777777" w:rsidTr="00436587">
        <w:trPr>
          <w:trHeight w:val="284"/>
          <w:jc w:val="center"/>
        </w:trPr>
        <w:tc>
          <w:tcPr>
            <w:tcW w:w="44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C54DFB" w:rsidRDefault="006306EF" w:rsidP="0081357F">
            <w:pPr>
              <w:pStyle w:val="Standard"/>
              <w:jc w:val="both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C54DFB" w:rsidRDefault="006306EF" w:rsidP="0081357F">
            <w:pPr>
              <w:pStyle w:val="Standard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C54DFB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Md" w:hAnsi="Azo Sans Md" w:cs="Calibri"/>
                <w:b/>
                <w:bCs/>
                <w:sz w:val="20"/>
                <w:szCs w:val="20"/>
              </w:rPr>
            </w:pPr>
          </w:p>
        </w:tc>
      </w:tr>
      <w:tr w:rsidR="006306EF" w:rsidRPr="00C54DFB" w14:paraId="20DE41AC" w14:textId="77777777" w:rsidTr="00436587">
        <w:trPr>
          <w:trHeight w:val="281"/>
          <w:jc w:val="center"/>
        </w:trPr>
        <w:tc>
          <w:tcPr>
            <w:tcW w:w="5000" w:type="pct"/>
            <w:gridSpan w:val="8"/>
          </w:tcPr>
          <w:p w14:paraId="579F99DB" w14:textId="5D76576B" w:rsidR="006306EF" w:rsidRPr="00C54DFB" w:rsidRDefault="006306EF" w:rsidP="0081357F">
            <w:pPr>
              <w:pStyle w:val="Standard"/>
              <w:jc w:val="right"/>
              <w:rPr>
                <w:rFonts w:ascii="Azo Sans Md" w:hAnsi="Azo Sans Md"/>
                <w:sz w:val="20"/>
                <w:szCs w:val="20"/>
              </w:rPr>
            </w:pPr>
            <w:r w:rsidRPr="00C54DFB">
              <w:rPr>
                <w:rFonts w:ascii="Azo Sans Md" w:hAnsi="Azo Sans Md"/>
                <w:b/>
                <w:bCs/>
                <w:sz w:val="20"/>
                <w:szCs w:val="20"/>
              </w:rPr>
              <w:t>TOTAL</w:t>
            </w:r>
            <w:r w:rsidR="00461F93" w:rsidRPr="00C54DFB">
              <w:rPr>
                <w:rFonts w:ascii="Azo Sans Md" w:hAnsi="Azo Sans Md"/>
                <w:b/>
                <w:bCs/>
                <w:sz w:val="20"/>
                <w:szCs w:val="20"/>
              </w:rPr>
              <w:t xml:space="preserve"> </w:t>
            </w:r>
            <w:r w:rsidRPr="00C54DFB">
              <w:rPr>
                <w:rFonts w:ascii="Azo Sans Md" w:hAnsi="Azo Sans Md"/>
                <w:b/>
                <w:bCs/>
                <w:sz w:val="20"/>
                <w:szCs w:val="20"/>
                <w:highlight w:val="yellow"/>
              </w:rPr>
              <w:t>XXX</w:t>
            </w:r>
            <w:r w:rsidRPr="00C54DFB">
              <w:rPr>
                <w:rFonts w:ascii="Azo Sans Md" w:hAnsi="Azo Sans Md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C54DFB" w:rsidRDefault="001A0D41" w:rsidP="001A0D41">
      <w:pPr>
        <w:pStyle w:val="Nivel01"/>
        <w:numPr>
          <w:ilvl w:val="0"/>
          <w:numId w:val="27"/>
        </w:numPr>
        <w:rPr>
          <w:rFonts w:ascii="Azo Sans Md" w:hAnsi="Azo Sans Md" w:cstheme="minorHAnsi"/>
          <w:iCs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lastRenderedPageBreak/>
        <w:t xml:space="preserve">-  </w:t>
      </w:r>
      <w:r w:rsidR="001D32DF" w:rsidRPr="00C54DFB">
        <w:rPr>
          <w:rFonts w:ascii="Azo Sans Md" w:hAnsi="Azo Sans Md" w:cstheme="minorHAnsi"/>
          <w:sz w:val="22"/>
          <w:szCs w:val="22"/>
        </w:rPr>
        <w:t>CLÁUSULA SEGUNDA – VIGÊNCIA</w:t>
      </w:r>
    </w:p>
    <w:p w14:paraId="34846553" w14:textId="0D7A1F52" w:rsidR="001D32DF" w:rsidRPr="00C54DFB" w:rsidRDefault="00B13DC2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  <w:bCs/>
          <w:iCs/>
        </w:rPr>
        <w:t xml:space="preserve">- </w:t>
      </w:r>
      <w:r w:rsidR="001D32DF" w:rsidRPr="00C54DFB">
        <w:rPr>
          <w:rFonts w:ascii="Azo Sans Md" w:hAnsi="Azo Sans Md" w:cstheme="minorHAnsi"/>
          <w:bCs/>
          <w:iCs/>
        </w:rPr>
        <w:t xml:space="preserve">O prazo de vigência deste Termo de Contrato </w:t>
      </w:r>
      <w:r w:rsidR="005466C3" w:rsidRPr="00C54DFB">
        <w:rPr>
          <w:rFonts w:ascii="Azo Sans Md" w:hAnsi="Azo Sans Md" w:cstheme="minorHAnsi"/>
          <w:bCs/>
          <w:iCs/>
        </w:rPr>
        <w:t xml:space="preserve">será de </w:t>
      </w:r>
      <w:r w:rsidR="005466C3" w:rsidRPr="00C54DFB">
        <w:rPr>
          <w:rFonts w:ascii="Azo Sans Md" w:hAnsi="Azo Sans Md" w:cstheme="minorHAnsi"/>
        </w:rPr>
        <w:t>...... (mês) meses</w:t>
      </w:r>
      <w:r w:rsidR="005466C3" w:rsidRPr="00C54DFB">
        <w:rPr>
          <w:rFonts w:ascii="Azo Sans Md" w:hAnsi="Azo Sans Md" w:cstheme="minorHAnsi"/>
          <w:bCs/>
          <w:iCs/>
        </w:rPr>
        <w:t xml:space="preserve"> </w:t>
      </w:r>
      <w:r w:rsidR="001D32DF" w:rsidRPr="00C54DFB">
        <w:rPr>
          <w:rFonts w:ascii="Azo Sans Md" w:hAnsi="Azo Sans Md" w:cstheme="minorHAnsi"/>
          <w:bCs/>
          <w:iCs/>
        </w:rPr>
        <w:t>, com início na data de ____/____/______ e encerramento em ____/____/______, prorrogável na forma do art. 57, §1º, da Lei nº 8.666, de 1993.</w:t>
      </w:r>
      <w:r w:rsidR="001D32DF" w:rsidRPr="00C54DFB">
        <w:rPr>
          <w:rFonts w:ascii="Azo Sans Md" w:hAnsi="Azo Sans Md" w:cstheme="minorHAnsi"/>
        </w:rPr>
        <w:t xml:space="preserve"> </w:t>
      </w:r>
    </w:p>
    <w:p w14:paraId="273B40C6" w14:textId="463A28D9" w:rsidR="004E079B" w:rsidRPr="00C54DFB" w:rsidRDefault="004E079B" w:rsidP="004E079B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TERCEIRA – PREÇO</w:t>
      </w:r>
    </w:p>
    <w:p w14:paraId="07A32C22" w14:textId="483CD91C" w:rsidR="001D32DF" w:rsidRPr="00C54DFB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>O valor do presente Termo de Contrato é de R$ ............ (...............).</w:t>
      </w:r>
    </w:p>
    <w:p w14:paraId="19E0CAC1" w14:textId="77777777" w:rsidR="001D32DF" w:rsidRPr="00C54DFB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796BA185" w:rsidR="00B03288" w:rsidRPr="00C54DFB" w:rsidRDefault="00B03288" w:rsidP="00B03288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QUARTA – DOTAÇÃO ORÇAMENTÁRIA</w:t>
      </w:r>
    </w:p>
    <w:p w14:paraId="24922862" w14:textId="2A72097D" w:rsidR="00814BB1" w:rsidRPr="00C54DFB" w:rsidRDefault="006E41E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6E41E6">
        <w:rPr>
          <w:rFonts w:ascii="Azo Sans Md" w:hAnsi="Azo Sans Md" w:cstheme="minorHAnsi"/>
          <w:bCs/>
          <w:iCs/>
        </w:rPr>
        <w:t>As despesas decorrentes da aquisição dos objetos previstos no Termo de Referência correrão por conta do elemento de despesa e fonte de recurso abaixo descritos e em conformidade com a Emenda Parlamentar 11399.442000/1100-02 e 11399.442000/1100-03;</w:t>
      </w:r>
    </w:p>
    <w:p w14:paraId="18F76F12" w14:textId="5D97D351" w:rsidR="006E41E6" w:rsidRPr="006E41E6" w:rsidRDefault="006E41E6" w:rsidP="006E41E6">
      <w:pPr>
        <w:pStyle w:val="PargrafodaLista"/>
        <w:widowControl/>
        <w:numPr>
          <w:ilvl w:val="2"/>
          <w:numId w:val="27"/>
        </w:numPr>
        <w:tabs>
          <w:tab w:val="left" w:pos="709"/>
        </w:tabs>
        <w:autoSpaceDE/>
        <w:autoSpaceDN/>
        <w:spacing w:before="113" w:after="120"/>
        <w:ind w:left="0" w:right="747" w:firstLine="0"/>
        <w:contextualSpacing/>
        <w:jc w:val="both"/>
        <w:rPr>
          <w:rFonts w:ascii="Azo Sans Md" w:hAnsi="Azo Sans Md" w:cs="Arial"/>
          <w:bCs/>
          <w:w w:val="110"/>
          <w:lang w:val="pt-BR"/>
        </w:rPr>
      </w:pPr>
      <w:r w:rsidRPr="006E41E6">
        <w:rPr>
          <w:rFonts w:ascii="Azo Sans Md" w:hAnsi="Azo Sans Md" w:cs="Arial"/>
          <w:bCs/>
          <w:w w:val="110"/>
          <w:lang w:val="pt-BR"/>
        </w:rPr>
        <w:t>Elemento de Despesa – 44.90.52.02</w:t>
      </w:r>
    </w:p>
    <w:p w14:paraId="267E2B8B" w14:textId="39939F43" w:rsidR="006E41E6" w:rsidRPr="006E41E6" w:rsidRDefault="006E41E6" w:rsidP="006E41E6">
      <w:pPr>
        <w:pStyle w:val="PargrafodaLista"/>
        <w:widowControl/>
        <w:numPr>
          <w:ilvl w:val="2"/>
          <w:numId w:val="27"/>
        </w:numPr>
        <w:tabs>
          <w:tab w:val="left" w:pos="709"/>
        </w:tabs>
        <w:autoSpaceDE/>
        <w:autoSpaceDN/>
        <w:spacing w:before="113" w:after="120"/>
        <w:ind w:left="0" w:right="747" w:firstLine="0"/>
        <w:contextualSpacing/>
        <w:jc w:val="both"/>
        <w:rPr>
          <w:rFonts w:ascii="Azo Sans Md" w:hAnsi="Azo Sans Md" w:cs="Arial"/>
          <w:bCs/>
          <w:w w:val="110"/>
          <w:lang w:val="pt-BR"/>
        </w:rPr>
      </w:pPr>
      <w:bookmarkStart w:id="0" w:name="_Hlk128404183"/>
      <w:r w:rsidRPr="006E41E6">
        <w:rPr>
          <w:rFonts w:ascii="Azo Sans Md" w:hAnsi="Azo Sans Md" w:cs="Arial"/>
          <w:bCs/>
          <w:w w:val="110"/>
          <w:lang w:val="pt-BR"/>
        </w:rPr>
        <w:t>Fonte de Recurso – 07 – SUS</w:t>
      </w:r>
    </w:p>
    <w:bookmarkEnd w:id="0"/>
    <w:p w14:paraId="37D889DB" w14:textId="77777777" w:rsidR="00187C1B" w:rsidRDefault="00187C1B" w:rsidP="00187C1B">
      <w:pPr>
        <w:pStyle w:val="PargrafodaLista"/>
        <w:widowControl/>
        <w:tabs>
          <w:tab w:val="left" w:pos="709"/>
        </w:tabs>
        <w:autoSpaceDE/>
        <w:autoSpaceDN/>
        <w:spacing w:before="113" w:after="120"/>
        <w:ind w:left="0" w:right="747"/>
        <w:contextualSpacing/>
        <w:rPr>
          <w:rFonts w:ascii="Azo Sans Md" w:hAnsi="Azo Sans Md" w:cs="Arial"/>
          <w:b/>
          <w:w w:val="110"/>
          <w:lang w:val="pt-BR"/>
        </w:rPr>
      </w:pPr>
    </w:p>
    <w:p w14:paraId="5DA4AE3A" w14:textId="30FC842A" w:rsidR="00187C1B" w:rsidRDefault="006E41E6" w:rsidP="00187C1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Quanto aos Programas de Trabalho, serão utilizados de acordo com as especificações a seguir</w:t>
      </w:r>
      <w:r>
        <w:rPr>
          <w:rFonts w:ascii="Azo Sans Md" w:hAnsi="Azo Sans Md" w:cstheme="minorHAnsi"/>
          <w:bCs/>
          <w:iCs/>
          <w:lang w:val="pt-BR"/>
        </w:rPr>
        <w:t>:</w:t>
      </w:r>
    </w:p>
    <w:p w14:paraId="6266FFC5" w14:textId="4AC39F46" w:rsidR="006E41E6" w:rsidRDefault="006E41E6" w:rsidP="006E41E6">
      <w:pPr>
        <w:pStyle w:val="PargrafodaLista"/>
        <w:widowControl/>
        <w:numPr>
          <w:ilvl w:val="2"/>
          <w:numId w:val="27"/>
        </w:numPr>
        <w:tabs>
          <w:tab w:val="left" w:pos="709"/>
        </w:tabs>
        <w:autoSpaceDE/>
        <w:autoSpaceDN/>
        <w:spacing w:before="113" w:after="120"/>
        <w:ind w:left="0" w:right="747" w:firstLine="0"/>
        <w:contextualSpacing/>
        <w:jc w:val="both"/>
        <w:rPr>
          <w:rFonts w:ascii="Azo Sans Md" w:hAnsi="Azo Sans Md" w:cs="Arial"/>
          <w:bCs/>
          <w:w w:val="110"/>
          <w:lang w:val="pt-BR"/>
        </w:rPr>
      </w:pPr>
      <w:r w:rsidRPr="006E41E6">
        <w:rPr>
          <w:rFonts w:ascii="Azo Sans Md" w:hAnsi="Azo Sans Md" w:cs="Arial"/>
          <w:bCs/>
          <w:w w:val="110"/>
          <w:lang w:val="pt-BR"/>
        </w:rPr>
        <w:t>Hospital Municipal Raul Sertã: 30001.1030200702.188</w:t>
      </w:r>
    </w:p>
    <w:p w14:paraId="4DC2244F" w14:textId="77777777" w:rsidR="006E41E6" w:rsidRPr="006E41E6" w:rsidRDefault="006E41E6" w:rsidP="006E41E6">
      <w:pPr>
        <w:pStyle w:val="PargrafodaLista"/>
        <w:widowControl/>
        <w:tabs>
          <w:tab w:val="left" w:pos="709"/>
        </w:tabs>
        <w:autoSpaceDE/>
        <w:autoSpaceDN/>
        <w:spacing w:before="113" w:after="120"/>
        <w:ind w:left="0" w:right="747"/>
        <w:contextualSpacing/>
        <w:jc w:val="both"/>
        <w:rPr>
          <w:rFonts w:ascii="Azo Sans Md" w:hAnsi="Azo Sans Md" w:cs="Arial"/>
          <w:bCs/>
          <w:w w:val="110"/>
          <w:lang w:val="pt-BR"/>
        </w:rPr>
      </w:pPr>
    </w:p>
    <w:p w14:paraId="2CD253DA" w14:textId="1AAC23C4" w:rsidR="00814BB1" w:rsidRPr="00C54DFB" w:rsidRDefault="006E41E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6E41E6">
        <w:rPr>
          <w:rFonts w:ascii="Azo Sans Md" w:hAnsi="Azo Sans Md" w:cstheme="minorHAnsi"/>
          <w:iCs/>
          <w:lang w:val="pt-BR"/>
        </w:rPr>
        <w:t>As notas fiscais deverão ser emitidas em nome do</w:t>
      </w:r>
      <w:r w:rsidRPr="006E41E6">
        <w:rPr>
          <w:rFonts w:ascii="Azo Sans Md" w:hAnsi="Azo Sans Md" w:cstheme="minorHAnsi"/>
          <w:b/>
          <w:bCs/>
          <w:iCs/>
          <w:lang w:val="pt-BR"/>
        </w:rPr>
        <w:t xml:space="preserve"> FUNDO MUNICIPAL DE SÀUDE, CNPJ: 11.399.442/0001-79, AVENIDA ALBERTO BRAUNE, 224, SALA 221, CENTRO, NOVA FRIBURGO/RJ, CEP 28613-001</w:t>
      </w:r>
      <w:r w:rsidR="00814BB1" w:rsidRPr="00C54DFB">
        <w:rPr>
          <w:rFonts w:ascii="Azo Sans Md" w:hAnsi="Azo Sans Md" w:cstheme="minorHAnsi"/>
          <w:bCs/>
          <w:iCs/>
        </w:rPr>
        <w:t>.</w:t>
      </w:r>
    </w:p>
    <w:p w14:paraId="2624BCC3" w14:textId="67B6DEEB" w:rsidR="001D32DF" w:rsidRPr="00C54DFB" w:rsidRDefault="00A111BA" w:rsidP="00A111BA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QUINTA – PAGAMENTO</w:t>
      </w:r>
    </w:p>
    <w:p w14:paraId="136CA2E8" w14:textId="47743A56" w:rsidR="00064A3F" w:rsidRPr="00C54DFB" w:rsidRDefault="006E41E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6E41E6">
        <w:rPr>
          <w:rFonts w:ascii="Azo Sans Md" w:hAnsi="Azo Sans Md" w:cstheme="minorHAnsi"/>
          <w:bCs/>
          <w:iCs/>
          <w:lang w:val="pt-BR"/>
        </w:rPr>
        <w:t>O pagamento será efetuado conforme dispõem o decreto nº.258 de 27 de setembro de 2018, desde que as certidões listadas abaixo estejam dentro da validade</w:t>
      </w:r>
      <w:r w:rsidR="00D27AFB" w:rsidRPr="00C54DFB">
        <w:rPr>
          <w:rFonts w:ascii="Azo Sans Md" w:hAnsi="Azo Sans Md" w:cstheme="minorHAnsi"/>
          <w:bCs/>
          <w:iCs/>
          <w:lang w:val="pt-BR"/>
        </w:rPr>
        <w:t>:</w:t>
      </w:r>
    </w:p>
    <w:p w14:paraId="49B259A0" w14:textId="1A61AC28" w:rsidR="00064A3F" w:rsidRPr="00C54DFB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Negativa de Débitos Trabalhistas;</w:t>
      </w:r>
    </w:p>
    <w:p w14:paraId="5A252391" w14:textId="301628D7" w:rsidR="00064A3F" w:rsidRPr="00C54DFB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Fazenda Federal – abrange as contribuições sociais;</w:t>
      </w:r>
    </w:p>
    <w:p w14:paraId="5DD266B6" w14:textId="5D297D52" w:rsidR="00064A3F" w:rsidRPr="00C54DFB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FGTS;</w:t>
      </w:r>
    </w:p>
    <w:p w14:paraId="6BBB49AD" w14:textId="1FB09C21" w:rsidR="00064A3F" w:rsidRPr="00C54DFB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PGE – referente à Dívida Ativa;</w:t>
      </w:r>
    </w:p>
    <w:p w14:paraId="0B0671D4" w14:textId="3BBDD5D2" w:rsidR="00064A3F" w:rsidRPr="00C54DFB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Municipal – referente ao ISS e Dívida Ativa;</w:t>
      </w:r>
    </w:p>
    <w:p w14:paraId="11498EC9" w14:textId="7CC0BD64" w:rsidR="00064A3F" w:rsidRPr="00C54DFB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Estadual CND – referente ao ICMS.</w:t>
      </w:r>
    </w:p>
    <w:p w14:paraId="2F6D88D6" w14:textId="58F3EB49" w:rsidR="00436587" w:rsidRPr="00C54DFB" w:rsidRDefault="006E41E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6E41E6">
        <w:rPr>
          <w:rFonts w:ascii="Azo Sans Md" w:hAnsi="Azo Sans Md" w:cstheme="minorHAnsi"/>
          <w:bCs/>
          <w:iCs/>
          <w:lang w:val="pt-BR"/>
        </w:rPr>
        <w:t>A Nota Fiscal de Serviço deverá conter a identificação do Banco, número da Agência e da Conta-Corrente, para que a Contratante possa efetuar o pagamento do valor devido</w:t>
      </w:r>
      <w:r w:rsidR="00187C1B">
        <w:rPr>
          <w:rFonts w:ascii="Azo Sans Md" w:hAnsi="Azo Sans Md" w:cstheme="minorHAnsi"/>
          <w:bCs/>
          <w:iCs/>
          <w:lang w:val="pt-BR"/>
        </w:rPr>
        <w:t>.</w:t>
      </w:r>
      <w:r w:rsidR="00436587" w:rsidRPr="00C54DFB">
        <w:rPr>
          <w:rFonts w:ascii="Azo Sans Md" w:hAnsi="Azo Sans Md" w:cstheme="minorHAnsi"/>
          <w:bCs/>
          <w:iCs/>
        </w:rPr>
        <w:t xml:space="preserve"> </w:t>
      </w:r>
    </w:p>
    <w:p w14:paraId="36DCCBD8" w14:textId="191B3E52" w:rsidR="005466C3" w:rsidRPr="00C54DFB" w:rsidRDefault="006E41E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6E41E6">
        <w:rPr>
          <w:rFonts w:ascii="Azo Sans Md" w:hAnsi="Azo Sans Md" w:cstheme="minorHAnsi"/>
          <w:bCs/>
          <w:iCs/>
          <w:lang w:val="pt-BR"/>
        </w:rPr>
        <w:lastRenderedPageBreak/>
        <w:t>Na ocorrência de rejeição da Nota Fiscal, motivada por erro ou incorreções, o prazo para pagamento estipulado acima passará a ser contado a partir da data de sua reapresentação</w:t>
      </w:r>
      <w:r w:rsidR="00436587" w:rsidRPr="00C54DFB">
        <w:rPr>
          <w:rFonts w:ascii="Azo Sans Md" w:hAnsi="Azo Sans Md" w:cstheme="minorHAnsi"/>
          <w:bCs/>
          <w:iCs/>
        </w:rPr>
        <w:t>.</w:t>
      </w:r>
    </w:p>
    <w:p w14:paraId="08D6E367" w14:textId="5B6B9E09" w:rsidR="001D32DF" w:rsidRPr="00C54DFB" w:rsidRDefault="00641674" w:rsidP="00641674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mallCaps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mallCaps/>
          <w:sz w:val="22"/>
          <w:szCs w:val="22"/>
        </w:rPr>
        <w:t>CLÁUSULA SEXTA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</w:t>
      </w:r>
      <w:r w:rsidR="001D32DF" w:rsidRPr="00C54DFB">
        <w:rPr>
          <w:rFonts w:ascii="Azo Sans Md" w:hAnsi="Azo Sans Md" w:cstheme="minorHAnsi"/>
          <w:smallCaps/>
          <w:sz w:val="22"/>
          <w:szCs w:val="22"/>
        </w:rPr>
        <w:t>–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REAJUSTE </w:t>
      </w:r>
    </w:p>
    <w:p w14:paraId="7443867F" w14:textId="6668B514" w:rsidR="005466C3" w:rsidRPr="00C54DFB" w:rsidRDefault="005466C3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II, d, da Lei 8.666/93. </w:t>
      </w:r>
    </w:p>
    <w:p w14:paraId="0A6389EB" w14:textId="323A5946" w:rsidR="00641674" w:rsidRPr="00C54DFB" w:rsidRDefault="00641674" w:rsidP="00641674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SÉTIMA – GARANTIA DE EXECUÇÃO</w:t>
      </w:r>
    </w:p>
    <w:p w14:paraId="71112DF9" w14:textId="77777777" w:rsidR="001D32DF" w:rsidRPr="00C54DFB" w:rsidRDefault="001D32DF" w:rsidP="0028504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>Não haverá exigência de garantia de execução para a presente contratação.</w:t>
      </w:r>
    </w:p>
    <w:p w14:paraId="15C17007" w14:textId="18C715BC" w:rsidR="00385663" w:rsidRPr="00C54DFB" w:rsidRDefault="00385663" w:rsidP="00385663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OITAVA </w:t>
      </w:r>
      <w:r w:rsidR="00B30CA0" w:rsidRPr="00C54DFB">
        <w:rPr>
          <w:rFonts w:ascii="Azo Sans Md" w:hAnsi="Azo Sans Md" w:cstheme="minorHAnsi"/>
          <w:sz w:val="22"/>
          <w:szCs w:val="22"/>
        </w:rPr>
        <w:t>–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</w:t>
      </w:r>
      <w:r w:rsidR="00B30CA0" w:rsidRPr="00C54DFB">
        <w:rPr>
          <w:rFonts w:ascii="Azo Sans Md" w:hAnsi="Azo Sans Md" w:cstheme="minorHAnsi"/>
          <w:sz w:val="22"/>
          <w:szCs w:val="22"/>
        </w:rPr>
        <w:t xml:space="preserve">FORNECIMENTO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DO OBJETO</w:t>
      </w:r>
    </w:p>
    <w:p w14:paraId="4D3BDAA0" w14:textId="77777777" w:rsidR="006E41E6" w:rsidRPr="006E41E6" w:rsidRDefault="00B30CA0" w:rsidP="006E41E6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lang w:val="pt-BR"/>
        </w:rPr>
      </w:pPr>
      <w:r w:rsidRPr="00C54DFB">
        <w:rPr>
          <w:rFonts w:ascii="Azo Sans Md" w:hAnsi="Azo Sans Md" w:cstheme="minorHAnsi"/>
          <w:bCs/>
          <w:iCs/>
          <w:lang w:val="pt-BR"/>
        </w:rPr>
        <w:t xml:space="preserve"> </w:t>
      </w:r>
      <w:r w:rsidR="006E41E6" w:rsidRPr="006E41E6">
        <w:rPr>
          <w:rFonts w:ascii="Azo Sans Md" w:hAnsi="Azo Sans Md" w:cstheme="minorHAnsi"/>
          <w:bCs/>
          <w:lang w:val="pt-BR"/>
        </w:rPr>
        <w:t>DO FORNECIMENTO (FORMA,  PRAZO E LOCAL DE ENTREGA</w:t>
      </w:r>
    </w:p>
    <w:p w14:paraId="05F93D90" w14:textId="77777777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 xml:space="preserve">A Empresa Vencedora deverá atender a ordem de fornecimento expedidas pelas Unidades </w:t>
      </w:r>
    </w:p>
    <w:p w14:paraId="45BB74E9" w14:textId="77790C26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Os itens deverão ser entregues em parcela única, com prazo não superior a 90 dias, contados a partir do recebimento da Nota de Empenho.</w:t>
      </w:r>
    </w:p>
    <w:p w14:paraId="4380DFF1" w14:textId="01463172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A entrega e instalação deverá ser realizada no Hospital Municipal Raul Sertã, localizado na Rua General Osório, nº. 324, Centro, Nova Friburgo/RJ, no horário de 09h:00m às 17h:00m.</w:t>
      </w:r>
    </w:p>
    <w:p w14:paraId="421BFD76" w14:textId="29171669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Os equipamentos constantes no subitem 2.1 d</w:t>
      </w:r>
      <w:r w:rsidR="00AC1E49">
        <w:rPr>
          <w:rFonts w:ascii="Azo Sans Md" w:hAnsi="Azo Sans Md" w:cstheme="minorHAnsi"/>
        </w:rPr>
        <w:t>o</w:t>
      </w:r>
      <w:r w:rsidRPr="006E41E6">
        <w:rPr>
          <w:rFonts w:ascii="Azo Sans Md" w:hAnsi="Azo Sans Md" w:cstheme="minorHAnsi"/>
        </w:rPr>
        <w:t xml:space="preserve"> Termo de Referência deverão ser entregues sem violação da embalagem, sem deterioração ou qualquer outro fator que possa comprometer seu uso ou qualidade.</w:t>
      </w:r>
    </w:p>
    <w:p w14:paraId="46D77AB3" w14:textId="36EF2A23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Caso os equipamentos apresentem embalagem violada ou qualquer tipo de comprometimento para seu uso, bem como marca trocada (em desacordo com a proposta apresentada pela licitante), caberá à empresa vencedora efetuar a troca, no prazo máximo de 15 dias, a partir da notificação da contratante, se responsabilizando, ademais, por todas as despesas que porventura venham a ocorrer.</w:t>
      </w:r>
    </w:p>
    <w:p w14:paraId="538AEEE8" w14:textId="516CCB12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Outrossim, deverão constar nos equipamentos os dados de identificação e procedência, fabricação, validade, número de lote e número do Registro na Agência Nacional de Vigilância Sanitária (Anvisa), se aplicável.</w:t>
      </w:r>
    </w:p>
    <w:p w14:paraId="13FC17DF" w14:textId="55EA11FA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No caso de aplicabilidade, não serão aceitos equipamentos cujos registros no Ministério da Saúde/Anvisa, estejam vencidos, inválidos, pendentes de renovação ou cancelados.</w:t>
      </w:r>
    </w:p>
    <w:p w14:paraId="492C7478" w14:textId="385A8034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Caso os equipamentos médicos-hospitalares cotados sejam dispensados do registro na Anvisa, a licitante deverá apresentar cópia doa to de isenção.</w:t>
      </w:r>
    </w:p>
    <w:p w14:paraId="31C44FA1" w14:textId="02BBF077" w:rsid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6E41E6">
        <w:rPr>
          <w:rFonts w:ascii="Azo Sans Md" w:hAnsi="Azo Sans Md" w:cstheme="minorHAnsi"/>
        </w:rPr>
        <w:t>No momento da entrega, os equipamentos deverão ser acompanhados dos seguintes documentos (quando aplicável):</w:t>
      </w:r>
    </w:p>
    <w:p w14:paraId="661C7F9E" w14:textId="2112BAA1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Manual de operação;</w:t>
      </w:r>
    </w:p>
    <w:p w14:paraId="6E58B733" w14:textId="0EC7100D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Manual de serviços;</w:t>
      </w:r>
    </w:p>
    <w:p w14:paraId="5C790175" w14:textId="471A73BC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lastRenderedPageBreak/>
        <w:t>Esquemas eletrônicos;</w:t>
      </w:r>
    </w:p>
    <w:p w14:paraId="2939CEEE" w14:textId="0D7711AA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Procedimentos de calibração;</w:t>
      </w:r>
    </w:p>
    <w:p w14:paraId="29C449BE" w14:textId="6D9B082A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Procedimentos de manutenção preventiva;</w:t>
      </w:r>
    </w:p>
    <w:p w14:paraId="6832F483" w14:textId="788882A4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Certificado de garantia;</w:t>
      </w:r>
    </w:p>
    <w:p w14:paraId="42886D6E" w14:textId="77777777" w:rsidR="006E41E6" w:rsidRPr="006E41E6" w:rsidRDefault="006E41E6" w:rsidP="006E41E6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CONDIÇÕES GERAIS</w:t>
      </w:r>
    </w:p>
    <w:p w14:paraId="184978CB" w14:textId="77777777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 empresa vencedora deverá cumprir as exigências das regulamentações técnicas federal, estadual e municipal que dispõem sobre a qualidade, segurança, desempenho, instalação e uso de equipamentos médico-hospitalares.</w:t>
      </w:r>
    </w:p>
    <w:p w14:paraId="19B81BE4" w14:textId="10112168" w:rsid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 empresa vencedora deverá cumprir as seguintes exigências:</w:t>
      </w:r>
    </w:p>
    <w:p w14:paraId="6122E4BD" w14:textId="3624B84F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Ter assistência técnica comprovada e autorizada pelo fabricante no País.</w:t>
      </w:r>
    </w:p>
    <w:p w14:paraId="12AE19AE" w14:textId="5F8D6652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Garantir que os equipamentos entregues são aqueles descritos no Termo de Referência e que possuem os padrões de qualidade e aceitação.</w:t>
      </w:r>
    </w:p>
    <w:p w14:paraId="3C1BD4B8" w14:textId="77ED922C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Prestar assessoria profissional para adequação dos pontos elétricos necessários à correta operação de todos os equipamentos, conforme manual do fabricante.</w:t>
      </w:r>
    </w:p>
    <w:p w14:paraId="12BC6CA4" w14:textId="34814E4C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Apresentar à Contratante o certificado do produto emitido pelo INMETRO, quando couber;</w:t>
      </w:r>
    </w:p>
    <w:p w14:paraId="61A0823A" w14:textId="4EE42E76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Quando aplicável, deverão ser apresentados ainda o registro do equipamento e insumos na Anvisa, bem como as respectivas cartas de autorização de fornecimento de tais materiais, fornecidas pelo detentor do registro na Anvisa.</w:t>
      </w:r>
    </w:p>
    <w:p w14:paraId="65B0E32E" w14:textId="1528CB68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Obedecer à legislação pertinente em vigor correspondente a cada objeto constante no Termo de Referência.</w:t>
      </w:r>
    </w:p>
    <w:p w14:paraId="4E083C11" w14:textId="25EC5BEB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Fornecer toda e qualquer parte ou acessório necessários ao completo funcionamento de todo o sistema.</w:t>
      </w:r>
    </w:p>
    <w:p w14:paraId="2CF548A5" w14:textId="51BD51E6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Os equipamentos deverão apresentar segurança em suas instalações elétricas em conformidade com a NBR/IEC 601.1.</w:t>
      </w:r>
    </w:p>
    <w:p w14:paraId="58F0AE11" w14:textId="61CAF26D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Todos os documentos mencionados nos subitens 4.9.1 a 4.9.6 deverão estar no idioma português(Br).</w:t>
      </w:r>
    </w:p>
    <w:p w14:paraId="2452B0FF" w14:textId="3CE97E0A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 entrega, o transporte, a descarga, colocação e a instalação dos equipamentos serão por conta da empresa vencedora.</w:t>
      </w:r>
    </w:p>
    <w:p w14:paraId="135CF2EB" w14:textId="2E5E0403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 empresa vencedora deverá prestar, sem custos à Contratante, assessoria científica e oferecer treinamento das equipes para a utilização do equipamento após a instalação.</w:t>
      </w:r>
    </w:p>
    <w:p w14:paraId="6FDFD166" w14:textId="39F1FA51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Deverá ainda fornecer, sem custos à Contratante, manutenção corretiva dos equipamentos, durante a vigência da garantia.</w:t>
      </w:r>
    </w:p>
    <w:p w14:paraId="78712073" w14:textId="414E9ABA" w:rsidR="006E41E6" w:rsidRPr="006E41E6" w:rsidRDefault="006E41E6" w:rsidP="006E41E6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lastRenderedPageBreak/>
        <w:t>Ademais, a empresa vencedora deverá seguir a programação do órgão requisitante, quanto à data, horário, local e quantidade a ser entregue.</w:t>
      </w:r>
    </w:p>
    <w:p w14:paraId="7C3B4A99" w14:textId="5B1681AF" w:rsidR="006E41E6" w:rsidRDefault="006E41E6" w:rsidP="006E41E6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 xml:space="preserve">Bem como conceder total garantia quanto à qualidade do material fornecido e efetuar a substituição no prazo máximo de 15 dias, e totalmente às suas expensas, de qualquer produto entregue comprovadamente em desacordo com </w:t>
      </w:r>
      <w:r w:rsidR="00AC1E49">
        <w:rPr>
          <w:rFonts w:ascii="Azo Sans Md" w:hAnsi="Azo Sans Md" w:cstheme="minorHAnsi"/>
          <w:bCs/>
          <w:iCs/>
          <w:lang w:val="pt-BR"/>
        </w:rPr>
        <w:t>o</w:t>
      </w:r>
      <w:r w:rsidRPr="006E41E6">
        <w:rPr>
          <w:rFonts w:ascii="Azo Sans Md" w:hAnsi="Azo Sans Md" w:cstheme="minorHAnsi"/>
          <w:bCs/>
          <w:iCs/>
          <w:lang w:val="pt-BR"/>
        </w:rPr>
        <w:t xml:space="preserve"> Termo de Referência, ou seja, fora das especificações técnicas e padrões de qualidade exigidos.</w:t>
      </w:r>
    </w:p>
    <w:p w14:paraId="6263AA3B" w14:textId="6FA8DA29" w:rsidR="006E41E6" w:rsidRP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 empresa vencedora deverá fornecer à Contratante todas as informações técnicas necessárias e   suficientes para a operação correta e segura dos equipamentos.</w:t>
      </w:r>
    </w:p>
    <w:p w14:paraId="1E81EBFB" w14:textId="2E112AE5" w:rsidR="006E41E6" w:rsidRDefault="006E41E6" w:rsidP="006E41E6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A tensão elétrica dos aparelhos solicitados deverá ser 220v ou Bivolt Automático.</w:t>
      </w:r>
    </w:p>
    <w:p w14:paraId="3E6C4858" w14:textId="77777777" w:rsidR="006E41E6" w:rsidRPr="006E41E6" w:rsidRDefault="006E41E6" w:rsidP="006E41E6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iCs/>
          <w:lang w:val="pt-BR"/>
        </w:rPr>
      </w:pPr>
      <w:r w:rsidRPr="006E41E6">
        <w:rPr>
          <w:rFonts w:ascii="Azo Sans Md" w:hAnsi="Azo Sans Md" w:cstheme="minorHAnsi"/>
          <w:bCs/>
          <w:iCs/>
          <w:lang w:val="pt-BR"/>
        </w:rPr>
        <w:t>DOS PROCEDIMENTOS DE RECEBIMENTO E ACEITAÇÃO DO OBJETO</w:t>
      </w:r>
    </w:p>
    <w:p w14:paraId="37541DF9" w14:textId="77777777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Para o procedimento de entrega dos equipamentos, é indispensável a presença da  empresa vencedora ou seu representante, devida e comprovadamente autorizado.</w:t>
      </w:r>
    </w:p>
    <w:p w14:paraId="63A76829" w14:textId="58FF7E5C" w:rsidR="006E41E6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Os bens serão recebidos</w:t>
      </w:r>
      <w:r>
        <w:rPr>
          <w:rFonts w:ascii="Azo Sans Md" w:hAnsi="Azo Sans Md" w:cstheme="minorHAnsi"/>
          <w:bCs/>
          <w:iCs/>
          <w:lang w:val="pt-BR"/>
        </w:rPr>
        <w:t>:</w:t>
      </w:r>
    </w:p>
    <w:p w14:paraId="576DE428" w14:textId="590889FD" w:rsidR="005065E3" w:rsidRP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Provisoriamente, a partir da entrega, para efeitos de verificação da conformidade com as especificações constantes n</w:t>
      </w:r>
      <w:r w:rsidR="00AC1E49">
        <w:rPr>
          <w:rFonts w:ascii="Azo Sans Md" w:hAnsi="Azo Sans Md" w:cstheme="minorHAnsi"/>
          <w:bCs/>
          <w:iCs/>
          <w:lang w:val="pt-BR"/>
        </w:rPr>
        <w:t>o</w:t>
      </w:r>
      <w:r w:rsidRPr="005065E3">
        <w:rPr>
          <w:rFonts w:ascii="Azo Sans Md" w:hAnsi="Azo Sans Md" w:cstheme="minorHAnsi"/>
          <w:bCs/>
          <w:iCs/>
          <w:lang w:val="pt-BR"/>
        </w:rPr>
        <w:t xml:space="preserve"> Termo de Referência.</w:t>
      </w:r>
    </w:p>
    <w:p w14:paraId="5C9F837C" w14:textId="215B2D68" w:rsid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Definitivamente, após verificação da conformidade com as especificações constantes do edital e das propostas, bem como após a instalação e comprovação de funcionamento do equipamento</w:t>
      </w:r>
      <w:r>
        <w:rPr>
          <w:rFonts w:ascii="Azo Sans Md" w:hAnsi="Azo Sans Md" w:cstheme="minorHAnsi"/>
          <w:bCs/>
          <w:iCs/>
          <w:lang w:val="pt-BR"/>
        </w:rPr>
        <w:t>.</w:t>
      </w:r>
    </w:p>
    <w:p w14:paraId="5D1D53E7" w14:textId="54DEB6D4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Tanto o recebimento provisório, quanto o recebimento definitivo, deverão ser instrumentalizados em documentos específicos, que serão elaborados pela equipe técnica designada no subitem 7.2 d</w:t>
      </w:r>
      <w:r w:rsidR="00AC1E49">
        <w:rPr>
          <w:rFonts w:ascii="Azo Sans Md" w:hAnsi="Azo Sans Md" w:cstheme="minorHAnsi"/>
          <w:bCs/>
          <w:iCs/>
          <w:lang w:val="pt-BR"/>
        </w:rPr>
        <w:t>o</w:t>
      </w:r>
      <w:r w:rsidRPr="005065E3">
        <w:rPr>
          <w:rFonts w:ascii="Azo Sans Md" w:hAnsi="Azo Sans Md" w:cstheme="minorHAnsi"/>
          <w:bCs/>
          <w:iCs/>
          <w:lang w:val="pt-BR"/>
        </w:rPr>
        <w:t xml:space="preserve"> Termo de Referência.</w:t>
      </w:r>
    </w:p>
    <w:p w14:paraId="41E9A867" w14:textId="3B4CB033" w:rsid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A equipe técnica deverá, no momento da entrega, realizar uma inspeção visual dos equipamentos para assegurar que:</w:t>
      </w:r>
    </w:p>
    <w:p w14:paraId="1B8324CE" w14:textId="3ABC8CA4" w:rsidR="005065E3" w:rsidRP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Os equipamentos correspondem àqueles especificados no Termo de Referência e nas propostas apresentadas.</w:t>
      </w:r>
    </w:p>
    <w:p w14:paraId="1127C5B6" w14:textId="78162AEA" w:rsidR="005065E3" w:rsidRP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Os equipamentos estão completos, com todos os acessórios e documentação técnicas especificadas no Termo de Referência e no edital.</w:t>
      </w:r>
    </w:p>
    <w:p w14:paraId="3DD8868C" w14:textId="528D9F40" w:rsidR="005065E3" w:rsidRP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Não existem partes dos equipamentos e seus acessórios danificados.</w:t>
      </w:r>
    </w:p>
    <w:p w14:paraId="36AE81E0" w14:textId="56FDDCDA" w:rsidR="005065E3" w:rsidRP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Os equipamentos estão compatíveis com os requisitos de pré-instalação aprovados pela empresa vencedora.</w:t>
      </w:r>
    </w:p>
    <w:p w14:paraId="081069B9" w14:textId="3BCF65C2" w:rsidR="005065E3" w:rsidRDefault="005065E3" w:rsidP="005065E3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Verificada a conformidade  com as especificações  constantes n</w:t>
      </w:r>
      <w:r w:rsidR="00AC1E49">
        <w:rPr>
          <w:rFonts w:ascii="Azo Sans Md" w:hAnsi="Azo Sans Md" w:cstheme="minorHAnsi"/>
          <w:bCs/>
          <w:iCs/>
          <w:lang w:val="pt-BR"/>
        </w:rPr>
        <w:t xml:space="preserve">o </w:t>
      </w:r>
      <w:r w:rsidRPr="005065E3">
        <w:rPr>
          <w:rFonts w:ascii="Azo Sans Md" w:hAnsi="Azo Sans Md" w:cstheme="minorHAnsi"/>
          <w:bCs/>
          <w:iCs/>
          <w:lang w:val="pt-BR"/>
        </w:rPr>
        <w:t>Termo de Referência,  no edital e nas propostas, bem como aprovada a inspeção visual prevista no subitem 8.4.1 a 8.4.4</w:t>
      </w:r>
      <w:r>
        <w:rPr>
          <w:rFonts w:ascii="Azo Sans Md" w:hAnsi="Azo Sans Md" w:cstheme="minorHAnsi"/>
          <w:bCs/>
          <w:iCs/>
          <w:lang w:val="pt-BR"/>
        </w:rPr>
        <w:t xml:space="preserve"> do Termo de Referência,</w:t>
      </w:r>
      <w:r w:rsidRPr="005065E3">
        <w:rPr>
          <w:rFonts w:ascii="Azo Sans Md" w:hAnsi="Azo Sans Md" w:cstheme="minorHAnsi"/>
          <w:bCs/>
          <w:iCs/>
          <w:lang w:val="pt-BR"/>
        </w:rPr>
        <w:t xml:space="preserve"> a equipe técnica emitirá o documento atestado o recebimento provisório.</w:t>
      </w:r>
    </w:p>
    <w:p w14:paraId="5C64288B" w14:textId="77777777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 xml:space="preserve">Emitido o documento de recebimento provisório, a empresa vencedora deverá realizar as instalações dos equipamentos no prazo máximo de 10 dias úteis, e estes ficarão em funcionamento no </w:t>
      </w:r>
      <w:r w:rsidRPr="005065E3">
        <w:rPr>
          <w:rFonts w:ascii="Azo Sans Md" w:hAnsi="Azo Sans Md" w:cstheme="minorHAnsi"/>
          <w:bCs/>
          <w:iCs/>
          <w:lang w:val="pt-BR"/>
        </w:rPr>
        <w:lastRenderedPageBreak/>
        <w:t xml:space="preserve">Hospital Municipal Raul Sertã por um período de experiência de 15 dias corridos, contados da instalação, para avaliação técnica durante o uso dos equipamentos. </w:t>
      </w:r>
    </w:p>
    <w:p w14:paraId="09743F2E" w14:textId="1AC67D03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Ao final deste período, a equipe técnica designada pela Contratante encaminhará relatório à empresa vencedora e à Secretaria Municipal de Saúde, aprovando ou reprovando os equipamentos.</w:t>
      </w:r>
    </w:p>
    <w:p w14:paraId="4BA883A7" w14:textId="3151A30F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 xml:space="preserve">Caso os equipamentos não estejam de acordo com as especificações propostas, a empresa vencedora deverá providenciar a substituição no prazo máximo de 15 dias, contados da data de recebimento do relatório mencionado no item 8.7 </w:t>
      </w:r>
      <w:r>
        <w:rPr>
          <w:rFonts w:ascii="Azo Sans Md" w:hAnsi="Azo Sans Md" w:cstheme="minorHAnsi"/>
          <w:bCs/>
          <w:iCs/>
          <w:lang w:val="pt-BR"/>
        </w:rPr>
        <w:t>do Termo de Referência</w:t>
      </w:r>
      <w:r w:rsidRPr="005065E3">
        <w:rPr>
          <w:rFonts w:ascii="Azo Sans Md" w:hAnsi="Azo Sans Md" w:cstheme="minorHAnsi"/>
          <w:bCs/>
          <w:iCs/>
          <w:lang w:val="pt-BR"/>
        </w:rPr>
        <w:t xml:space="preserve">. </w:t>
      </w:r>
    </w:p>
    <w:p w14:paraId="1ACF8380" w14:textId="048EE1DC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 xml:space="preserve">Aprovados os equipamentos, a equipe técnica da Contratante emitirá o recebimento definitivo e o aceite dos equipamentos.     </w:t>
      </w:r>
    </w:p>
    <w:p w14:paraId="25F47335" w14:textId="3D30E52D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O prazo máximo para emissão documento supramencionado será de 03 idas úteis, contados do recebimento do relatório de aprovação mencionado no item 8.7</w:t>
      </w:r>
      <w:r>
        <w:rPr>
          <w:rFonts w:ascii="Azo Sans Md" w:hAnsi="Azo Sans Md" w:cstheme="minorHAnsi"/>
          <w:bCs/>
          <w:iCs/>
          <w:lang w:val="pt-BR"/>
        </w:rPr>
        <w:t xml:space="preserve"> do Termo de Referência</w:t>
      </w:r>
      <w:r w:rsidRPr="005065E3">
        <w:rPr>
          <w:rFonts w:ascii="Azo Sans Md" w:hAnsi="Azo Sans Md" w:cstheme="minorHAnsi"/>
          <w:bCs/>
          <w:iCs/>
          <w:lang w:val="pt-BR"/>
        </w:rPr>
        <w:t>.</w:t>
      </w:r>
    </w:p>
    <w:p w14:paraId="2DF48A74" w14:textId="59456776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 xml:space="preserve">Na hipótese de a verificação a que se refere o subitem anterior não ser procedida dentro do prazo fixado, reputar-se-á como realizada, consumando-se </w:t>
      </w:r>
      <w:r>
        <w:rPr>
          <w:rFonts w:ascii="Azo Sans Md" w:hAnsi="Azo Sans Md" w:cstheme="minorHAnsi"/>
          <w:bCs/>
          <w:iCs/>
          <w:lang w:val="pt-BR"/>
        </w:rPr>
        <w:t>n</w:t>
      </w:r>
      <w:r w:rsidRPr="005065E3">
        <w:rPr>
          <w:rFonts w:ascii="Azo Sans Md" w:hAnsi="Azo Sans Md" w:cstheme="minorHAnsi"/>
          <w:bCs/>
          <w:iCs/>
          <w:lang w:val="pt-BR"/>
        </w:rPr>
        <w:t>o recebimento definitivo.</w:t>
      </w:r>
    </w:p>
    <w:p w14:paraId="19704196" w14:textId="00A59C7A" w:rsidR="005065E3" w:rsidRP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Após o recebimento definitivo dos equipamentos, a equipe técnica, no prazo de 03 dias úteis, deverá comunicar o fato ao Setor de Patrimônio da Secretaria Municipal de Saúde, que providenciará os respectivos códigos de identificação, a fim de incluí-los no patrimônio e no sistema de gerência e manutenção da Contratante.</w:t>
      </w:r>
    </w:p>
    <w:p w14:paraId="17ABA1F9" w14:textId="7D1920F6" w:rsidR="005065E3" w:rsidRDefault="005065E3" w:rsidP="005065E3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5065E3">
        <w:rPr>
          <w:rFonts w:ascii="Azo Sans Md" w:hAnsi="Azo Sans Md" w:cstheme="minorHAnsi"/>
          <w:bCs/>
          <w:iCs/>
          <w:lang w:val="pt-BR"/>
        </w:rPr>
        <w:t>Ademais, caberá à equipe técnica, no mesmo prazo acima, comunicar ao gabinete desta Secretaria o aceite final dos equipamentos</w:t>
      </w:r>
      <w:r w:rsidR="00696535">
        <w:rPr>
          <w:rFonts w:ascii="Azo Sans Md" w:hAnsi="Azo Sans Md" w:cstheme="minorHAnsi"/>
          <w:bCs/>
          <w:iCs/>
          <w:lang w:val="pt-BR"/>
        </w:rPr>
        <w:t>.</w:t>
      </w:r>
    </w:p>
    <w:p w14:paraId="2D754BB8" w14:textId="77777777" w:rsidR="00696535" w:rsidRPr="00696535" w:rsidRDefault="00696535" w:rsidP="00696535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PRÉ- INSTALAÇÃO E INSTALAÇÃO</w:t>
      </w:r>
    </w:p>
    <w:p w14:paraId="0C332737" w14:textId="1F8FF26C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Com a provação final emitida pela empresa vencedora, e no prazo máximo de 05 dias úteis contados de sua emissão, a empresa vencedora realizará as instalações dos equipamentos.</w:t>
      </w:r>
    </w:p>
    <w:p w14:paraId="217418DD" w14:textId="23297D9B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Para a conclusão das instalações a empresa vencedora, ou seu representante devidamente autorizado, deverá efetuar os testes das instalações dos equipamentos, realizando demonstração de seus funcionamentos à equipe técnica de acompanhamento. </w:t>
      </w:r>
    </w:p>
    <w:p w14:paraId="48127D45" w14:textId="65A14E44" w:rsid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Os custos referentes à pré-instalação e instalação, particularmente aqueles adicionais, que podem ocorrer na adequação do estabelecimento de saúde ou durante as instalações dos equipamentos (quando são adquiridos produtos para a interface ou interconexão, controle ambiental ou proteção de interferências), incluindo custos de eventual acompanhamento ou inspeção pela empresa vencedora, serão integralmente pagos por esta</w:t>
      </w:r>
      <w:r>
        <w:rPr>
          <w:rFonts w:ascii="Azo Sans Md" w:hAnsi="Azo Sans Md" w:cstheme="minorHAnsi"/>
          <w:bCs/>
          <w:iCs/>
          <w:lang w:val="pt-BR"/>
        </w:rPr>
        <w:t>.</w:t>
      </w:r>
    </w:p>
    <w:p w14:paraId="4CC1E847" w14:textId="77777777" w:rsidR="00696535" w:rsidRPr="00696535" w:rsidRDefault="00696535" w:rsidP="00696535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DO TREINAMENTO</w:t>
      </w:r>
    </w:p>
    <w:p w14:paraId="0AD21C88" w14:textId="77777777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A empresa vencedora oferecerá treinamento para os operadores dos equipamentos adquiridos, sem custo adicional para a Contratante. </w:t>
      </w:r>
    </w:p>
    <w:p w14:paraId="399D441B" w14:textId="21CB7234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lastRenderedPageBreak/>
        <w:t>Caso a equipe técnica instituída no subitem 7.3 d</w:t>
      </w:r>
      <w:r w:rsidR="00AC1E49">
        <w:rPr>
          <w:rFonts w:ascii="Azo Sans Md" w:hAnsi="Azo Sans Md" w:cstheme="minorHAnsi"/>
          <w:bCs/>
          <w:iCs/>
          <w:lang w:val="pt-BR"/>
        </w:rPr>
        <w:t>o</w:t>
      </w:r>
      <w:r w:rsidRPr="00696535">
        <w:rPr>
          <w:rFonts w:ascii="Azo Sans Md" w:hAnsi="Azo Sans Md" w:cstheme="minorHAnsi"/>
          <w:bCs/>
          <w:iCs/>
          <w:lang w:val="pt-BR"/>
        </w:rPr>
        <w:t xml:space="preserve"> Termo de Referência considere necessário, a empresa vencedora oferecerá treinamento aos técnicos da Contratante para a prestação de serviços de manutenção a serem realizados após o término do período de garantia dos equipamentos. </w:t>
      </w:r>
    </w:p>
    <w:p w14:paraId="78446FD3" w14:textId="4AA3C1EC" w:rsid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Os custos de treinamento, tanto dos operadores dos equipamentos quanto dos técnicos de manutenção da Contratante serão integralmente pagos pela empresa vencedora, estando incluídos os custos com o treinamento, a participação de especialistas, o transporte dos profissionais da empresa vencedora, bem como o possível  uso de material didático</w:t>
      </w:r>
      <w:r>
        <w:rPr>
          <w:rFonts w:ascii="Azo Sans Md" w:hAnsi="Azo Sans Md" w:cstheme="minorHAnsi"/>
          <w:bCs/>
          <w:iCs/>
          <w:lang w:val="pt-BR"/>
        </w:rPr>
        <w:t>.</w:t>
      </w:r>
    </w:p>
    <w:p w14:paraId="0F52F9FD" w14:textId="77777777" w:rsidR="00696535" w:rsidRPr="00696535" w:rsidRDefault="00696535" w:rsidP="00696535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DA DOCUMENTAÇÃO</w:t>
      </w:r>
    </w:p>
    <w:p w14:paraId="6A89135B" w14:textId="77777777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A equipe técnica responsável pelo recebimento, instalação e aceitação dos equipamentos médico-hospitalares, devem registrar em documento único apropriado, informações detalhadas sobre os equipamentos e todos os eventos do processo de seu recebimento, instalação e aceitação. </w:t>
      </w:r>
    </w:p>
    <w:p w14:paraId="27B87236" w14:textId="5A5060CA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A equipe técnica deverá realizar a guarda e o controle de toda documentação referente ao recebimento, instalação e aceitação dos equipamentos, incluindo a documentação técnica (manuais de operação e manuais de serviço) e atualizações efetuadas nesta documentação, devendo ainda divulgar na unidade Requisitante as informações nela contidas.</w:t>
      </w:r>
    </w:p>
    <w:p w14:paraId="6A024786" w14:textId="74FD4931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Após a aceitação dos equipamentos, no que tange àqueles enquadradas nas classes 02 e 03 (médio e alto risco, respectivamente) da Portaria 2043/1994 do Ministério da Saúde, devem ser anexados livros (diários) ou cartões de registros, que deverão conter informações resumidas das intervenções para manutenções preventivas e corretivas, das modificações efetuadas, das pequenas falhas ou funcionamentos anormais, entre outras informações, encabeçadas pela aceitação dos equipamentos em serviço. </w:t>
      </w:r>
    </w:p>
    <w:p w14:paraId="075363F0" w14:textId="4010F40A" w:rsid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Os livros (diários) ou cartões de registros deverão ser de fácil acesso aos seus usuários e terão as seguintes funções:</w:t>
      </w:r>
    </w:p>
    <w:p w14:paraId="4AF72079" w14:textId="77777777" w:rsidR="00696535" w:rsidRPr="00696535" w:rsidRDefault="00696535" w:rsidP="00696535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Manter as unidades usuárias dos equipamentos informadas quanto aos reparos e modificações neles efetuadas.</w:t>
      </w:r>
    </w:p>
    <w:p w14:paraId="05A59368" w14:textId="224B14F7" w:rsidR="00696535" w:rsidRPr="00696535" w:rsidRDefault="00696535" w:rsidP="00696535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Assegurar que as manutenções preventivas serão executadas nas datas previstas.</w:t>
      </w:r>
    </w:p>
    <w:p w14:paraId="3C14C144" w14:textId="1FC71638" w:rsidR="00696535" w:rsidRPr="00696535" w:rsidRDefault="00696535" w:rsidP="00696535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Chamar a atenção para problemas que podem estar ocasionando frequentes avarias aos equipamentos.</w:t>
      </w:r>
    </w:p>
    <w:p w14:paraId="0347284C" w14:textId="598CD6B8" w:rsidR="00696535" w:rsidRPr="00696535" w:rsidRDefault="00696535" w:rsidP="00696535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Indicar que os usuários verificaram os equipamentos após as manutenções.  </w:t>
      </w:r>
    </w:p>
    <w:p w14:paraId="656F0304" w14:textId="54031454" w:rsidR="00696535" w:rsidRDefault="00696535" w:rsidP="00696535">
      <w:pPr>
        <w:pStyle w:val="PargrafodaLista"/>
        <w:widowControl/>
        <w:numPr>
          <w:ilvl w:val="3"/>
          <w:numId w:val="27"/>
        </w:numPr>
        <w:tabs>
          <w:tab w:val="left" w:pos="851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Indicar que os equipamentos foram submetidos a testes funcionais antes de serem utilizados em pacientes.</w:t>
      </w:r>
    </w:p>
    <w:p w14:paraId="6147698A" w14:textId="77777777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Os livros (diários) ou cartões de registros deverão ser mantidos permanentemente junto aos equipamentos e suas atualizações ou  preenchimentos deverão ser realizados segundo requisitos previamente estabelecidos e formalmente instituídos pela direção do Setor Requisitante, incluindo o requisito de datar e assinar cada registro.</w:t>
      </w:r>
    </w:p>
    <w:p w14:paraId="152FB5DB" w14:textId="45FF96CB" w:rsid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lastRenderedPageBreak/>
        <w:t>A Contratante deverá manter registros de todos os treinamentos realizados por seus funcionários ou pelos funcionários da empresa vencedora para a capacitação de seus profissionais e técnicos na operação ou prestação de serviços de manutenção de cada um dos equipamentos adquiridos</w:t>
      </w:r>
      <w:r>
        <w:rPr>
          <w:rFonts w:ascii="Azo Sans Md" w:hAnsi="Azo Sans Md" w:cstheme="minorHAnsi"/>
          <w:bCs/>
          <w:iCs/>
          <w:lang w:val="pt-BR"/>
        </w:rPr>
        <w:t>.</w:t>
      </w:r>
    </w:p>
    <w:p w14:paraId="5FB9AA7D" w14:textId="77777777" w:rsidR="00696535" w:rsidRPr="00696535" w:rsidRDefault="00696535" w:rsidP="00696535">
      <w:pPr>
        <w:numPr>
          <w:ilvl w:val="1"/>
          <w:numId w:val="27"/>
        </w:numPr>
        <w:spacing w:before="120" w:after="120" w:line="276" w:lineRule="auto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DA GARANTIA E ASSISTÊNCIA TÉCNICA DOS EQUIPAMENTOS  </w:t>
      </w:r>
    </w:p>
    <w:p w14:paraId="2E6D263F" w14:textId="77777777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A empresa vencedora deverá fornecer garantia dos equipamentos e seus acessórios pelo período mínimo de 24 meses, a contar da respectiva aceitação. </w:t>
      </w:r>
    </w:p>
    <w:p w14:paraId="2C610519" w14:textId="4C0AA1E1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 xml:space="preserve">Será ainda responsável por vícios ou defeitos de fabricação, bem como desgastes anormais dos equipamentos, suas partes e acessórios obrigando-se ressarcir os danos e substituir os elementos defeituosos,  sem ônus a Contratante. </w:t>
      </w:r>
    </w:p>
    <w:p w14:paraId="210D4B21" w14:textId="570F4243" w:rsidR="00696535" w:rsidRP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A empresa vencedora deverá possuir equipe de assistência técnica ou representação técnica especializada para a prestação de serviços de manutenção no País.</w:t>
      </w:r>
    </w:p>
    <w:p w14:paraId="7948BCB0" w14:textId="6593BC63" w:rsidR="00696535" w:rsidRDefault="00696535" w:rsidP="00696535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696535">
        <w:rPr>
          <w:rFonts w:ascii="Azo Sans Md" w:hAnsi="Azo Sans Md" w:cstheme="minorHAnsi"/>
          <w:bCs/>
          <w:iCs/>
          <w:lang w:val="pt-BR"/>
        </w:rPr>
        <w:t>Durante a vigência do período de garantia, na eventual necessidade de assistência técnica, os custos referentes ao transporte de técnicos e equipamentos em função da distância entre a Contratante e o fornecedor ou seu representante técnico serão integralmente pagos pela empresa vencedora.</w:t>
      </w:r>
    </w:p>
    <w:p w14:paraId="51653C8A" w14:textId="4F45866D" w:rsidR="00A14FF7" w:rsidRPr="00C54DFB" w:rsidRDefault="00A14FF7" w:rsidP="00A14FF7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CLAÚSULA NONA </w:t>
      </w:r>
      <w:r w:rsidRPr="00C54DFB">
        <w:rPr>
          <w:rFonts w:ascii="Azo Sans Md" w:hAnsi="Azo Sans Md" w:cstheme="minorHAnsi"/>
          <w:sz w:val="22"/>
          <w:szCs w:val="22"/>
        </w:rPr>
        <w:t>–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FISCALIZAÇÃO</w:t>
      </w:r>
    </w:p>
    <w:p w14:paraId="1FA77780" w14:textId="030EB8F8" w:rsidR="00D22BFB" w:rsidRPr="00D22BFB" w:rsidRDefault="00D22BFB" w:rsidP="00D22BF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D22BFB">
        <w:rPr>
          <w:rFonts w:ascii="Azo Sans Md" w:hAnsi="Azo Sans Md" w:cstheme="minorHAnsi"/>
          <w:bCs/>
          <w:iCs/>
          <w:lang w:val="pt-BR"/>
        </w:rPr>
        <w:t xml:space="preserve">Segundo determinação da Agencia Nacional de Vigilância Sanitária, apresentada no Manual de Boas </w:t>
      </w:r>
      <w:r w:rsidR="00AC1E49" w:rsidRPr="00D22BFB">
        <w:rPr>
          <w:rFonts w:ascii="Azo Sans Md" w:hAnsi="Azo Sans Md" w:cstheme="minorHAnsi"/>
          <w:bCs/>
          <w:iCs/>
          <w:lang w:val="pt-BR"/>
        </w:rPr>
        <w:t>Práticas</w:t>
      </w:r>
      <w:r w:rsidRPr="00D22BFB">
        <w:rPr>
          <w:rFonts w:ascii="Azo Sans Md" w:hAnsi="Azo Sans Md" w:cstheme="minorHAnsi"/>
          <w:bCs/>
          <w:iCs/>
          <w:lang w:val="pt-BR"/>
        </w:rPr>
        <w:t xml:space="preserve"> de Aquisição de Equipamentos Médico-Hospitalares, a Contratante deve constituir equipe técnica para a aquisição de equipamentos médico- hospitalares de alta complexidade, da qual deverão participar, obrigatoriamente, o dirigente da unidade responsável pelo uso clínico dos equipamentos, bem como o dirigente da unidade responsável pela gerência e manutenção dos referidos equipamentos.</w:t>
      </w:r>
    </w:p>
    <w:p w14:paraId="784EDBF6" w14:textId="2BD9FB19" w:rsidR="00D22BFB" w:rsidRPr="00D22BFB" w:rsidRDefault="00D22BFB" w:rsidP="00D22BF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  <w:lang w:val="pt-BR"/>
        </w:rPr>
      </w:pPr>
      <w:r w:rsidRPr="00D22BFB">
        <w:rPr>
          <w:rFonts w:ascii="Azo Sans Md" w:hAnsi="Azo Sans Md" w:cstheme="minorHAnsi"/>
          <w:bCs/>
          <w:iCs/>
          <w:lang w:val="pt-BR"/>
        </w:rPr>
        <w:t>Visando o cumprimento desta determinação, a Contratante nomeai como integrantes da equipe técnica os Servidores a seguir:</w:t>
      </w:r>
    </w:p>
    <w:p w14:paraId="42C47832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Microscópio Cirúrgico</w:t>
      </w:r>
    </w:p>
    <w:p w14:paraId="0643DDF3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Joao Luiz Olyntho Machado – Mat. 299.9111 – Fiscal Titular</w:t>
      </w:r>
    </w:p>
    <w:p w14:paraId="74A66733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Selma Vitor de Almeida – Mat.  207.470 – Fiscal Substituto</w:t>
      </w:r>
    </w:p>
    <w:p w14:paraId="2ED20B03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</w:p>
    <w:p w14:paraId="4AFD32C1" w14:textId="4233BB23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Aparelho de Raio X Fixo</w:t>
      </w:r>
    </w:p>
    <w:p w14:paraId="6E90E695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Thalis Leon de Ávila Saint Yves – Mat. 290.209 – Fiscal Titular</w:t>
      </w:r>
    </w:p>
    <w:p w14:paraId="47EAE57A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Wagner Barcellos – Mat.  201.367 – Fiscal Substituto</w:t>
      </w:r>
    </w:p>
    <w:p w14:paraId="19726332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</w:p>
    <w:p w14:paraId="545441E4" w14:textId="559EFBF0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Sistema de Videoendoscopia</w:t>
      </w:r>
    </w:p>
    <w:p w14:paraId="3F70A1AB" w14:textId="77777777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lastRenderedPageBreak/>
        <w:t>Filipe de Bustamante Carim – Mat. 207.647 – Fiscal Titular</w:t>
      </w:r>
    </w:p>
    <w:p w14:paraId="3020DB48" w14:textId="4F34184D" w:rsidR="00D22BFB" w:rsidRPr="00D22BFB" w:rsidRDefault="00D22BFB" w:rsidP="00D22BFB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center"/>
        <w:rPr>
          <w:rFonts w:ascii="Azo Sans Md" w:hAnsi="Azo Sans Md" w:cstheme="minorHAnsi"/>
          <w:b/>
          <w:iCs/>
        </w:rPr>
      </w:pPr>
      <w:r w:rsidRPr="00D22BFB">
        <w:rPr>
          <w:rFonts w:ascii="Azo Sans Md" w:hAnsi="Azo Sans Md" w:cstheme="minorHAnsi"/>
          <w:b/>
          <w:iCs/>
        </w:rPr>
        <w:t>Rodrigo Melo Fernandes – Mat.  207.057 – Fiscal Substituto</w:t>
      </w:r>
    </w:p>
    <w:p w14:paraId="6D51E008" w14:textId="078D3212" w:rsidR="00C81401" w:rsidRPr="00C54DFB" w:rsidRDefault="00D22BFB" w:rsidP="00C8140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D22BFB">
        <w:rPr>
          <w:rFonts w:ascii="Azo Sans Md" w:hAnsi="Azo Sans Md" w:cstheme="minorHAnsi"/>
          <w:bCs/>
          <w:iCs/>
          <w:lang w:val="pt-BR"/>
        </w:rPr>
        <w:t>A equipe técnica instituída acima é responsável pela especificação do item aqui requerido e ainda pela execução dos procedimentos para recebimento do equipamento, acompanhamento da respectiva instalação e elaboração da aceitação, conforme devidamente detalhado no decorrer deste documento</w:t>
      </w:r>
      <w:r w:rsidR="00C81401" w:rsidRPr="00C54DFB">
        <w:rPr>
          <w:rFonts w:ascii="Azo Sans Md" w:hAnsi="Azo Sans Md" w:cstheme="minorHAnsi"/>
          <w:bCs/>
          <w:iCs/>
        </w:rPr>
        <w:t xml:space="preserve">. </w:t>
      </w:r>
    </w:p>
    <w:p w14:paraId="1ECB67B5" w14:textId="5F4840BE" w:rsidR="00055A35" w:rsidRPr="00C54DFB" w:rsidRDefault="00055A35" w:rsidP="00055A35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>CLÁUSULA DÉCIMA – OBRIGAÇÕES DA CONTRATANTE E DA CONTRATADA</w:t>
      </w:r>
    </w:p>
    <w:p w14:paraId="3C8F79C5" w14:textId="7DA737A5" w:rsidR="00617E05" w:rsidRPr="00C54DFB" w:rsidRDefault="00E40A97" w:rsidP="00617E05">
      <w:pPr>
        <w:pStyle w:val="PargrafodaLista"/>
        <w:widowControl/>
        <w:numPr>
          <w:ilvl w:val="1"/>
          <w:numId w:val="27"/>
        </w:numPr>
        <w:autoSpaceDE/>
        <w:autoSpaceDN/>
        <w:spacing w:before="120" w:after="120" w:line="276" w:lineRule="auto"/>
        <w:jc w:val="both"/>
        <w:rPr>
          <w:rFonts w:ascii="Azo Sans Md" w:hAnsi="Azo Sans Md" w:cstheme="minorHAnsi"/>
          <w:b/>
          <w:bCs/>
        </w:rPr>
      </w:pPr>
      <w:r w:rsidRPr="00C54DFB">
        <w:rPr>
          <w:rFonts w:ascii="Azo Sans Md" w:hAnsi="Azo Sans Md" w:cstheme="minorHAnsi"/>
          <w:b/>
          <w:bCs/>
        </w:rPr>
        <w:t>Caberá à Contratante:</w:t>
      </w:r>
    </w:p>
    <w:p w14:paraId="73FDE0E2" w14:textId="77777777" w:rsidR="00873CE3" w:rsidRPr="00873CE3" w:rsidRDefault="00831574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623F21">
        <w:rPr>
          <w:rFonts w:ascii="Azo Sans Md" w:hAnsi="Azo Sans Md" w:cstheme="minorHAnsi"/>
          <w:lang w:val="pt-BR"/>
        </w:rPr>
        <w:t xml:space="preserve"> </w:t>
      </w:r>
      <w:r w:rsidR="00873CE3" w:rsidRPr="00873CE3">
        <w:rPr>
          <w:rFonts w:ascii="Azo Sans Md" w:hAnsi="Azo Sans Md" w:cstheme="minorHAnsi"/>
          <w:lang w:val="pt-BR"/>
        </w:rPr>
        <w:t>Exigir o cumprimento de todas as obrigações assumidas pela empresa vencedora, de acordo com as cláusulas contratuais e os termos de sua proposta;</w:t>
      </w:r>
    </w:p>
    <w:p w14:paraId="6DA93B44" w14:textId="2BB19A73" w:rsidR="00873CE3" w:rsidRP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Receber provisoriamente o material, disponibilizado local, data e horário;</w:t>
      </w:r>
    </w:p>
    <w:p w14:paraId="10539D5C" w14:textId="0FD4CFFC" w:rsidR="00873CE3" w:rsidRP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 xml:space="preserve">Verificar minuciosamente, no prazo fixado, a conformidade dos bens recebidos </w:t>
      </w:r>
    </w:p>
    <w:p w14:paraId="72C89D6C" w14:textId="77777777" w:rsidR="00873CE3" w:rsidRP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Provisoriamente com as especificações constantes do Termo de Referência e da proposta, para fins de aceitação e recebimento definitivo;</w:t>
      </w:r>
    </w:p>
    <w:p w14:paraId="154C319F" w14:textId="20D194CB" w:rsidR="00873CE3" w:rsidRP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Acompanhar e fiscalizar o cumprimento das obrigações da empresa vencedora, através de servidor especialmente designado;</w:t>
      </w:r>
    </w:p>
    <w:p w14:paraId="27185E21" w14:textId="0484363E" w:rsidR="00873CE3" w:rsidRP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Efetuar o pagamento no prazo previsto;</w:t>
      </w:r>
    </w:p>
    <w:p w14:paraId="6CDFE8C2" w14:textId="3882CC7D" w:rsidR="00873CE3" w:rsidRP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Efetuar as retenções tributárias devidas sobre o valor da Nota Fiscal/Fatura fornecida pela empresa vencedora.</w:t>
      </w:r>
    </w:p>
    <w:p w14:paraId="7F2A409D" w14:textId="17A1B319" w:rsidR="00873CE3" w:rsidRDefault="00873CE3" w:rsidP="00873CE3">
      <w:pPr>
        <w:pStyle w:val="PargrafodaLista"/>
        <w:numPr>
          <w:ilvl w:val="2"/>
          <w:numId w:val="27"/>
        </w:numPr>
        <w:autoSpaceDN/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A Administração não responderá por quaisquer compromissos assumidos pela empresa vencedora com terceiros, ainda que vinculados à execução do presente Termo de Contrato, bem como por qualquer dano causado a terceiros em decorrência de ato da empresa vencedora, de seus empregados, prepostos ou subordinados</w:t>
      </w:r>
      <w:r>
        <w:rPr>
          <w:rFonts w:ascii="Azo Sans Md" w:hAnsi="Azo Sans Md" w:cstheme="minorHAnsi"/>
          <w:lang w:val="pt-BR"/>
        </w:rPr>
        <w:t>.</w:t>
      </w:r>
    </w:p>
    <w:p w14:paraId="5B3A7EF8" w14:textId="19A03544" w:rsidR="00E40A97" w:rsidRPr="00C54DFB" w:rsidRDefault="00873CE3" w:rsidP="005041CA">
      <w:pPr>
        <w:pStyle w:val="PargrafodaLista"/>
        <w:widowControl/>
        <w:numPr>
          <w:ilvl w:val="1"/>
          <w:numId w:val="27"/>
        </w:numPr>
        <w:autoSpaceDE/>
        <w:autoSpaceDN/>
        <w:spacing w:before="120" w:after="120" w:line="276" w:lineRule="auto"/>
        <w:jc w:val="both"/>
        <w:rPr>
          <w:rFonts w:ascii="Azo Sans Md" w:hAnsi="Azo Sans Md" w:cstheme="minorHAnsi"/>
          <w:b/>
          <w:bCs/>
        </w:rPr>
      </w:pPr>
      <w:r w:rsidRPr="00873CE3">
        <w:rPr>
          <w:rFonts w:ascii="Azo Sans Md" w:hAnsi="Azo Sans Md" w:cstheme="minorHAnsi"/>
          <w:b/>
          <w:bCs/>
        </w:rPr>
        <w:t>Das obrigações da empresa vencedora</w:t>
      </w:r>
      <w:r w:rsidR="00E40A97" w:rsidRPr="00C54DFB">
        <w:rPr>
          <w:rFonts w:ascii="Azo Sans Md" w:hAnsi="Azo Sans Md" w:cstheme="minorHAnsi"/>
          <w:b/>
          <w:bCs/>
        </w:rPr>
        <w:t>:</w:t>
      </w:r>
    </w:p>
    <w:p w14:paraId="5C6557F6" w14:textId="1297BE44" w:rsidR="00872F10" w:rsidRPr="00C54DFB" w:rsidRDefault="00623F21" w:rsidP="008756B2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623F21">
        <w:rPr>
          <w:rFonts w:ascii="Azo Sans Md" w:hAnsi="Azo Sans Md" w:cstheme="minorHAnsi"/>
          <w:lang w:val="pt-BR"/>
        </w:rPr>
        <w:t>Ter capacidade de atendimento da demanda com eficiência, presteza e zelo</w:t>
      </w:r>
      <w:r w:rsidR="00872F10" w:rsidRPr="00C54DFB">
        <w:rPr>
          <w:rFonts w:ascii="Azo Sans Md" w:hAnsi="Azo Sans Md" w:cstheme="minorHAnsi"/>
          <w:lang w:val="pt-BR"/>
        </w:rPr>
        <w:t>;</w:t>
      </w:r>
    </w:p>
    <w:p w14:paraId="6BEE54FC" w14:textId="0EA89AC0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Efetuar a entrega e instalação dos bens em perfeitas condições, no prazo e local indicados pela Contratante, em estrita observância das especificações do Termo de Referência e da proposta, acompanhada da respectiva Nota Fiscal Eletrônica COMPLETA constando detalhadamente as indicações da marca, fabricante, modelo, tipo, procedência e prazo de garantia, quando  for  o caso, acompanha das certidões de regularidade fiscal citadas nos subitens 17.1.1 a 17.1.6</w:t>
      </w:r>
      <w:r>
        <w:rPr>
          <w:rFonts w:ascii="Azo Sans Md" w:hAnsi="Azo Sans Md" w:cstheme="minorHAnsi"/>
          <w:lang w:val="pt-BR"/>
        </w:rPr>
        <w:t xml:space="preserve"> do Termo de Referência</w:t>
      </w:r>
      <w:r w:rsidRPr="00873CE3">
        <w:rPr>
          <w:rFonts w:ascii="Azo Sans Md" w:hAnsi="Azo Sans Md" w:cstheme="minorHAnsi"/>
          <w:lang w:val="pt-BR"/>
        </w:rPr>
        <w:t>;</w:t>
      </w:r>
    </w:p>
    <w:p w14:paraId="313F431B" w14:textId="76D67BD3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 xml:space="preserve">Responsabilizar-se pelos vícios e danos decorrentes do produto, de acordo com os artigos  12,13,18 e 26, do Código de Defesa do Consumidor (Lei nº.8.078, de 19900; </w:t>
      </w:r>
    </w:p>
    <w:p w14:paraId="62FE2A83" w14:textId="4789B45A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O dever previsto no subitem anterior implica na obrigação de, a critério da Contratante, substituir, reparar, no prazo máximo de 15 dias, o produto com avarias, defeitos ou em desacordo com o Termo de Referência;</w:t>
      </w:r>
    </w:p>
    <w:p w14:paraId="4BB1DD46" w14:textId="1F48B6E4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 xml:space="preserve">Atender prontamente a quaisquer exigências da Contratante, inerentes ao objeto da </w:t>
      </w:r>
      <w:r w:rsidRPr="00873CE3">
        <w:rPr>
          <w:rFonts w:ascii="Azo Sans Md" w:hAnsi="Azo Sans Md" w:cstheme="minorHAnsi"/>
          <w:lang w:val="pt-BR"/>
        </w:rPr>
        <w:lastRenderedPageBreak/>
        <w:t>presente contratação;</w:t>
      </w:r>
    </w:p>
    <w:p w14:paraId="01829FAC" w14:textId="7E66770E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Não transferir a terceiros, por qualquer forma, nem mesmo parcialmente, as obrigações assumidas, nem subcontratar qualquer das prestações a que está obrigada, exceto nas condições autorizadas no Termo de Referência.</w:t>
      </w:r>
    </w:p>
    <w:p w14:paraId="0B3449C7" w14:textId="5A9218C4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 xml:space="preserve">Responsabilizar-se, pelas despesas dos tributos, encargos trabalhistas, previdenciários, fiscais, comerciais, taxas, fretes, seguros, deslocamento de pessoal, prestação de garantia  e quaisquer outras que  incidam ou venham a incidir na execução do contrato. </w:t>
      </w:r>
    </w:p>
    <w:p w14:paraId="6FFF04EC" w14:textId="1290837D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Comunicar à Contratante, no prazo mínimo de 7 dias de antecedência, os motivos que eventualmente impossibilitem o cumprimento do prazo previsto, com a devida comprovação;</w:t>
      </w:r>
    </w:p>
    <w:p w14:paraId="256CCED4" w14:textId="455E8DCD" w:rsidR="00873CE3" w:rsidRP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Manter, durante toda a execução do contrato, em compatibilidade com as obrigações assumidas, todas as condições de habilitação e qualificação exigidas na licitação;</w:t>
      </w:r>
    </w:p>
    <w:p w14:paraId="27A07314" w14:textId="25090CAA" w:rsidR="00873CE3" w:rsidRDefault="00873CE3" w:rsidP="00873CE3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Arcar com ônus decorrente de eventual equívoco no dimensionamento dos quantitativos de sua proposta, devendo complementá-los, caso o previsto inicialmente em sua proposta  não seja  satisfatório para o atendimento ao objeto da contratação, exceto quando ocorrer algum dos eventos arrolados  nos incisos do 1º parágrafo do art. 57 da Lei nº. 8.666, de 1993</w:t>
      </w:r>
      <w:r>
        <w:rPr>
          <w:rFonts w:ascii="Azo Sans Md" w:hAnsi="Azo Sans Md" w:cstheme="minorHAnsi"/>
          <w:lang w:val="pt-BR"/>
        </w:rPr>
        <w:t>.</w:t>
      </w:r>
    </w:p>
    <w:p w14:paraId="073BDB59" w14:textId="24E93B2E" w:rsidR="00623F21" w:rsidRDefault="00623F21" w:rsidP="00623F21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CLÁUSULA DÉCIMA PRIMEIRA – </w:t>
      </w:r>
      <w:r w:rsidRPr="00623F21">
        <w:rPr>
          <w:rFonts w:ascii="Azo Sans Md" w:hAnsi="Azo Sans Md" w:cstheme="minorHAnsi"/>
          <w:sz w:val="22"/>
          <w:szCs w:val="22"/>
        </w:rPr>
        <w:t>DOS CRITÉRIOS DE SUSTENTABILIDADE AMBIENTAL</w:t>
      </w:r>
    </w:p>
    <w:p w14:paraId="22900B89" w14:textId="7570B7F4" w:rsidR="00623F21" w:rsidRPr="00623F21" w:rsidRDefault="00873CE3" w:rsidP="00623F2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>
        <w:rPr>
          <w:rFonts w:ascii="Azo Sans Md" w:hAnsi="Azo Sans Md" w:cstheme="minorHAnsi"/>
          <w:bCs/>
          <w:iCs/>
          <w:lang w:val="pt-BR"/>
        </w:rPr>
        <w:t xml:space="preserve"> </w:t>
      </w:r>
      <w:r w:rsidRPr="00873CE3">
        <w:rPr>
          <w:rFonts w:ascii="Azo Sans Md" w:hAnsi="Azo Sans Md" w:cstheme="minorHAnsi"/>
          <w:bCs/>
          <w:iCs/>
          <w:lang w:val="pt-BR"/>
        </w:rPr>
        <w:t>A empresa vencedora deverá atender, no que couber, o critério de sustentabilidade ambiental previstos na Instrução Normativa SLTI/MPOG nº. 01, de 19/01/2010</w:t>
      </w:r>
      <w:r w:rsidR="00623F21" w:rsidRPr="00623F21">
        <w:rPr>
          <w:rFonts w:ascii="Azo Sans Md" w:hAnsi="Azo Sans Md" w:cstheme="minorHAnsi"/>
          <w:bCs/>
          <w:iCs/>
        </w:rPr>
        <w:t>.</w:t>
      </w:r>
    </w:p>
    <w:p w14:paraId="742EA88C" w14:textId="4212457B" w:rsidR="00A229E2" w:rsidRPr="00623F21" w:rsidRDefault="005F5E8D" w:rsidP="00623F21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623F21">
        <w:rPr>
          <w:rFonts w:ascii="Azo Sans Md" w:hAnsi="Azo Sans Md" w:cstheme="minorHAnsi"/>
          <w:sz w:val="22"/>
          <w:szCs w:val="22"/>
        </w:rPr>
        <w:t>SEGUNDA</w:t>
      </w:r>
      <w:r w:rsidR="007270C7" w:rsidRPr="00623F21">
        <w:rPr>
          <w:rFonts w:ascii="Azo Sans Md" w:hAnsi="Azo Sans Md" w:cstheme="minorHAnsi"/>
          <w:sz w:val="22"/>
          <w:szCs w:val="22"/>
        </w:rPr>
        <w:t xml:space="preserve"> </w:t>
      </w:r>
      <w:r w:rsidR="001D32DF" w:rsidRPr="00623F21">
        <w:rPr>
          <w:rFonts w:ascii="Azo Sans Md" w:hAnsi="Azo Sans Md" w:cstheme="minorHAnsi"/>
          <w:sz w:val="22"/>
          <w:szCs w:val="22"/>
        </w:rPr>
        <w:t>– SANÇÕES ADMINISTRATIVAS</w:t>
      </w:r>
    </w:p>
    <w:p w14:paraId="0B630FC8" w14:textId="10A891A5" w:rsidR="00A229E2" w:rsidRPr="00C54DFB" w:rsidRDefault="00276B5D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 xml:space="preserve"> </w:t>
      </w:r>
      <w:r w:rsidR="00873CE3" w:rsidRPr="00873CE3">
        <w:rPr>
          <w:rFonts w:ascii="Azo Sans Md" w:hAnsi="Azo Sans Md" w:cstheme="minorHAnsi"/>
          <w:bCs/>
          <w:iCs/>
          <w:lang w:val="pt-BR"/>
        </w:rPr>
        <w:t>O descumprimento, por parte da empresa vencedora, das obrigações assumidas no Termo de Referência, ou o descumprimento dos preceitos legais pertinentes, ensejará a aplicação das sanções previstas na lei 8.666/93</w:t>
      </w:r>
      <w:r w:rsidR="006154C0">
        <w:rPr>
          <w:rFonts w:ascii="Azo Sans Md" w:hAnsi="Azo Sans Md" w:cstheme="minorHAnsi"/>
          <w:bCs/>
          <w:iCs/>
          <w:lang w:val="pt-BR"/>
        </w:rPr>
        <w:t xml:space="preserve"> e da Lei 10.520/2002</w:t>
      </w:r>
      <w:r w:rsidR="009162EB" w:rsidRPr="00C54DFB">
        <w:rPr>
          <w:rFonts w:ascii="Azo Sans Md" w:hAnsi="Azo Sans Md" w:cstheme="minorHAnsi"/>
          <w:bCs/>
          <w:iCs/>
        </w:rPr>
        <w:t>.</w:t>
      </w:r>
    </w:p>
    <w:p w14:paraId="641B2321" w14:textId="6E173355" w:rsidR="009162EB" w:rsidRPr="00C54DFB" w:rsidRDefault="00623F21" w:rsidP="002F2CC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>
        <w:rPr>
          <w:rFonts w:ascii="Azo Sans Md" w:hAnsi="Azo Sans Md" w:cstheme="minorHAnsi"/>
          <w:bCs/>
          <w:iCs/>
        </w:rPr>
        <w:t xml:space="preserve"> </w:t>
      </w:r>
      <w:r w:rsidR="009162EB" w:rsidRPr="00C54DFB">
        <w:rPr>
          <w:rFonts w:ascii="Azo Sans Md" w:hAnsi="Azo Sans Md" w:cstheme="minorHAnsi"/>
          <w:bCs/>
          <w:iCs/>
        </w:rPr>
        <w:t xml:space="preserve">Comete infração administrativa: </w:t>
      </w:r>
    </w:p>
    <w:p w14:paraId="48258AE4" w14:textId="71E44746" w:rsidR="00E27B1B" w:rsidRPr="00C54DFB" w:rsidRDefault="00873CE3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873CE3">
        <w:rPr>
          <w:rFonts w:ascii="Azo Sans Md" w:hAnsi="Azo Sans Md" w:cstheme="minorHAnsi"/>
          <w:lang w:val="pt-BR"/>
        </w:rPr>
        <w:t>Não assinar aceitar/retirar a Nota de Empenho, quando convocado ou notificado dentro do prazo de validade da proposta</w:t>
      </w:r>
      <w:r w:rsidR="00E27B1B" w:rsidRPr="00C54DFB">
        <w:rPr>
          <w:rFonts w:ascii="Azo Sans Md" w:hAnsi="Azo Sans Md" w:cstheme="minorHAnsi"/>
          <w:lang w:val="pt-BR"/>
        </w:rPr>
        <w:t>;</w:t>
      </w:r>
    </w:p>
    <w:p w14:paraId="634E2026" w14:textId="10FDDA08" w:rsidR="00E27B1B" w:rsidRPr="00C54DFB" w:rsidRDefault="009162E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Apresentar documentação falsa</w:t>
      </w:r>
      <w:r w:rsidR="00E27B1B" w:rsidRPr="00C54DFB">
        <w:rPr>
          <w:rFonts w:ascii="Azo Sans Md" w:hAnsi="Azo Sans Md" w:cstheme="minorHAnsi"/>
          <w:lang w:val="pt-BR"/>
        </w:rPr>
        <w:t>;</w:t>
      </w:r>
    </w:p>
    <w:p w14:paraId="47342B0B" w14:textId="6547E742" w:rsidR="00E27B1B" w:rsidRPr="00C54DFB" w:rsidRDefault="009162E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Deixar de entregar os documentos exigidos no certame;</w:t>
      </w:r>
    </w:p>
    <w:p w14:paraId="37642BA6" w14:textId="416CC470" w:rsidR="00E27B1B" w:rsidRPr="00C54DFB" w:rsidRDefault="009162E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Ensejar o retardamento da execução do objeto</w:t>
      </w:r>
      <w:r w:rsidR="00E27B1B" w:rsidRPr="00C54DFB">
        <w:rPr>
          <w:rFonts w:ascii="Azo Sans Md" w:hAnsi="Azo Sans Md" w:cstheme="minorHAnsi"/>
          <w:lang w:val="pt-BR"/>
        </w:rPr>
        <w:t>;</w:t>
      </w:r>
    </w:p>
    <w:p w14:paraId="18EB534D" w14:textId="77777777" w:rsidR="00E27B1B" w:rsidRPr="00C54DF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Não mantiver a proposta;</w:t>
      </w:r>
    </w:p>
    <w:p w14:paraId="16E77C34" w14:textId="77777777" w:rsidR="00E27B1B" w:rsidRPr="00C54DF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Cometer fraude fiscal;</w:t>
      </w:r>
    </w:p>
    <w:p w14:paraId="49949874" w14:textId="77777777" w:rsidR="00E27B1B" w:rsidRPr="00C54DFB" w:rsidRDefault="00E27B1B" w:rsidP="002F2CC8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>Comportar-se de modo inidôneo;</w:t>
      </w:r>
    </w:p>
    <w:p w14:paraId="5EFA280B" w14:textId="3B26D361" w:rsidR="0089518A" w:rsidRPr="00C54DFB" w:rsidRDefault="00623F21" w:rsidP="0089518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>
        <w:rPr>
          <w:rFonts w:ascii="Azo Sans Md" w:hAnsi="Azo Sans Md" w:cstheme="minorHAnsi"/>
          <w:bCs/>
          <w:iCs/>
          <w:lang w:val="pt-BR"/>
        </w:rPr>
        <w:t xml:space="preserve"> </w:t>
      </w:r>
      <w:r w:rsidR="00873CE3" w:rsidRPr="00873CE3">
        <w:rPr>
          <w:rFonts w:ascii="Azo Sans Md" w:hAnsi="Azo Sans Md" w:cstheme="minorHAnsi"/>
          <w:bCs/>
          <w:iCs/>
          <w:lang w:val="pt-BR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</w:t>
      </w:r>
      <w:r w:rsidR="009162EB" w:rsidRPr="00C54DFB">
        <w:rPr>
          <w:rFonts w:ascii="Azo Sans Md" w:hAnsi="Azo Sans Md" w:cstheme="minorHAnsi"/>
          <w:bCs/>
          <w:iCs/>
          <w:lang w:val="pt-BR"/>
        </w:rPr>
        <w:t>.</w:t>
      </w:r>
    </w:p>
    <w:p w14:paraId="4F2F63DC" w14:textId="3B2A981F" w:rsidR="0089518A" w:rsidRPr="00C54DFB" w:rsidRDefault="0089518A" w:rsidP="0089518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bCs/>
          <w:iCs/>
        </w:rPr>
      </w:pPr>
      <w:r w:rsidRPr="00C54DFB">
        <w:rPr>
          <w:rFonts w:ascii="Azo Sans Md" w:hAnsi="Azo Sans Md" w:cstheme="minorHAnsi"/>
          <w:bCs/>
          <w:iCs/>
        </w:rPr>
        <w:t xml:space="preserve">  </w:t>
      </w:r>
      <w:r w:rsidR="00873CE3" w:rsidRPr="00873CE3">
        <w:rPr>
          <w:rFonts w:ascii="Azo Sans Md" w:hAnsi="Azo Sans Md" w:cstheme="minorHAnsi"/>
          <w:bCs/>
          <w:iCs/>
          <w:lang w:val="pt-BR"/>
        </w:rPr>
        <w:t>O licitante/adjudicatório que cometer quaisquer das infrações discriminadas no subitem anterior, ficará sujeito, sem prejuízo da responsabilidade civil e criminal, as seguintes sanções</w:t>
      </w:r>
      <w:r w:rsidR="009162EB" w:rsidRPr="00C54DFB">
        <w:rPr>
          <w:rFonts w:ascii="Azo Sans Md" w:hAnsi="Azo Sans Md" w:cstheme="minorHAnsi"/>
          <w:bCs/>
          <w:iCs/>
          <w:lang w:val="pt-BR"/>
        </w:rPr>
        <w:t>:</w:t>
      </w:r>
    </w:p>
    <w:p w14:paraId="6F2758F3" w14:textId="77777777" w:rsidR="00623F21" w:rsidRPr="00623F21" w:rsidRDefault="00623F21" w:rsidP="00623F2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623F21">
        <w:rPr>
          <w:rFonts w:ascii="Azo Sans Md" w:hAnsi="Azo Sans Md" w:cstheme="minorHAnsi"/>
          <w:lang w:val="pt-BR"/>
        </w:rPr>
        <w:lastRenderedPageBreak/>
        <w:t>Multa de até 10% (dez por cento) sobre o valor estimado do(s) iten(s) prejudicado(s) pela conduta do licitante;</w:t>
      </w:r>
    </w:p>
    <w:p w14:paraId="7852B0D2" w14:textId="6A30DB86" w:rsidR="00623F21" w:rsidRDefault="00873CE3" w:rsidP="00623F2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>
        <w:rPr>
          <w:rFonts w:ascii="Azo Sans Md" w:hAnsi="Azo Sans Md" w:cstheme="minorHAnsi"/>
          <w:lang w:val="pt-BR"/>
        </w:rPr>
        <w:t>I</w:t>
      </w:r>
      <w:r w:rsidR="00623F21" w:rsidRPr="00623F21">
        <w:rPr>
          <w:rFonts w:ascii="Azo Sans Md" w:hAnsi="Azo Sans Md" w:cstheme="minorHAnsi"/>
          <w:lang w:val="pt-BR"/>
        </w:rPr>
        <w:t>mpedimento de licitar e de contratar com o Município e descredenciamento pelo prazo de até cinco anos;</w:t>
      </w:r>
    </w:p>
    <w:p w14:paraId="3E171459" w14:textId="28B2B8CA" w:rsidR="00623F21" w:rsidRPr="00623F21" w:rsidRDefault="0089518A" w:rsidP="00623F2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 w:rsidRPr="00C54DFB">
        <w:rPr>
          <w:rFonts w:ascii="Azo Sans Md" w:hAnsi="Azo Sans Md" w:cstheme="minorHAnsi"/>
          <w:lang w:val="pt-BR"/>
        </w:rPr>
        <w:t xml:space="preserve"> </w:t>
      </w:r>
      <w:r w:rsidR="00B86014" w:rsidRPr="00B86014">
        <w:rPr>
          <w:rFonts w:ascii="Azo Sans Md" w:hAnsi="Azo Sans Md" w:cstheme="minorHAnsi"/>
          <w:lang w:val="pt-BR"/>
        </w:rPr>
        <w:t>As sanções de advertências e sanções de suspensão temporária de participação em licitação e impedimento de contratar com a Administração e declaração de idoneidade para licitar ou contratar com a Administração Pública poderão ser aplicadas juntamente com a sanção de multa, facultada a defesa prévia de interessado, no respectivo processo, no prazo de 5 (cinco) dias úteis;</w:t>
      </w:r>
      <w:r w:rsidR="00623F21" w:rsidRPr="00623F21">
        <w:rPr>
          <w:rFonts w:ascii="Azo Sans Md" w:hAnsi="Azo Sans Md" w:cstheme="minorHAnsi"/>
          <w:lang w:val="pt-BR"/>
        </w:rPr>
        <w:t>.</w:t>
      </w:r>
    </w:p>
    <w:p w14:paraId="167463FD" w14:textId="4161EC17" w:rsidR="00623F21" w:rsidRPr="00623F21" w:rsidRDefault="00623F21" w:rsidP="00623F2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>
        <w:rPr>
          <w:rFonts w:ascii="Azo Sans Md" w:hAnsi="Azo Sans Md" w:cstheme="minorHAnsi"/>
          <w:lang w:val="pt-BR"/>
        </w:rPr>
        <w:t xml:space="preserve"> </w:t>
      </w:r>
      <w:r w:rsidRPr="00623F21">
        <w:rPr>
          <w:rFonts w:ascii="Azo Sans Md" w:hAnsi="Azo Sans Md" w:cstheme="minorHAnsi"/>
          <w:lang w:val="pt-BR"/>
        </w:rPr>
        <w:t>A aplicação de quaisquer das penalidades previstas realizar-se–á em processo administrativo que assegurará o contraditório e a ampla defesa ao licitante/adjudicatário, observando-se o procedimento previsto na Lei n.º 8.666/93, e subsidiariamente na lei n.º 9.784/99.</w:t>
      </w:r>
    </w:p>
    <w:p w14:paraId="06A1C82B" w14:textId="42F7F09A" w:rsidR="00623F21" w:rsidRDefault="00623F21" w:rsidP="00623F2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  <w:lang w:val="pt-BR"/>
        </w:rPr>
      </w:pPr>
      <w:r>
        <w:rPr>
          <w:rFonts w:ascii="Azo Sans Md" w:hAnsi="Azo Sans Md" w:cstheme="minorHAnsi"/>
          <w:lang w:val="pt-BR"/>
        </w:rPr>
        <w:t xml:space="preserve"> </w:t>
      </w:r>
      <w:r w:rsidRPr="00623F21">
        <w:rPr>
          <w:rFonts w:ascii="Azo Sans Md" w:hAnsi="Azo Sans Md" w:cstheme="minorHAnsi"/>
          <w:lang w:val="pt-BR"/>
        </w:rPr>
        <w:t>A autoridade competente, na aplicação das sanções, levará em consideração a gravidade da conduta do infrator, o caráter educativo da pena, bem como, o dano causado à administração, observado o princípio da proporcionalidade</w:t>
      </w:r>
      <w:r>
        <w:rPr>
          <w:rFonts w:ascii="Azo Sans Md" w:hAnsi="Azo Sans Md" w:cstheme="minorHAnsi"/>
          <w:lang w:val="pt-BR"/>
        </w:rPr>
        <w:t>.</w:t>
      </w:r>
    </w:p>
    <w:p w14:paraId="32EB3BB1" w14:textId="5DC66413" w:rsidR="00763341" w:rsidRPr="00C54DFB" w:rsidRDefault="00763341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623F21">
        <w:rPr>
          <w:rFonts w:ascii="Azo Sans Md" w:hAnsi="Azo Sans Md" w:cstheme="minorHAnsi"/>
          <w:sz w:val="22"/>
          <w:szCs w:val="22"/>
        </w:rPr>
        <w:t>TERCEIRA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RESCISÃO</w:t>
      </w:r>
    </w:p>
    <w:p w14:paraId="764354A3" w14:textId="571638FA" w:rsidR="00623F21" w:rsidRPr="00623F21" w:rsidRDefault="00873CE3" w:rsidP="00623F21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873CE3">
        <w:rPr>
          <w:rFonts w:ascii="Azo Sans Md" w:hAnsi="Azo Sans Md" w:cstheme="minorHAnsi"/>
          <w:lang w:val="pt-BR"/>
        </w:rPr>
        <w:t>O inadimplemento de cláusula estabelecida n</w:t>
      </w:r>
      <w:r w:rsidR="00AC1E49">
        <w:rPr>
          <w:rFonts w:ascii="Azo Sans Md" w:hAnsi="Azo Sans Md" w:cstheme="minorHAnsi"/>
          <w:lang w:val="pt-BR"/>
        </w:rPr>
        <w:t>o</w:t>
      </w:r>
      <w:r w:rsidRPr="00873CE3">
        <w:rPr>
          <w:rFonts w:ascii="Azo Sans Md" w:hAnsi="Azo Sans Md" w:cstheme="minorHAnsi"/>
          <w:lang w:val="pt-BR"/>
        </w:rPr>
        <w:t xml:space="preserve"> Termo de Referência, bem como na legislação vigente, por parte do fornecedor, assegurará a Secretaria Municipal de Saúde de Nova Friburgo o direito de rescindi-la, mediante notificação, com prova de recebimento</w:t>
      </w:r>
      <w:r w:rsidR="00623F21" w:rsidRPr="00623F21">
        <w:rPr>
          <w:rFonts w:ascii="Azo Sans Md" w:hAnsi="Azo Sans Md" w:cstheme="minorHAnsi"/>
        </w:rPr>
        <w:t>.</w:t>
      </w:r>
    </w:p>
    <w:p w14:paraId="79855152" w14:textId="40B0215F" w:rsidR="00623F21" w:rsidRDefault="00873CE3" w:rsidP="00623F21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873CE3">
        <w:rPr>
          <w:rFonts w:ascii="Azo Sans Md" w:hAnsi="Azo Sans Md" w:cstheme="minorHAnsi"/>
          <w:lang w:val="pt-BR"/>
        </w:rPr>
        <w:t>Além de outras hipóteses expressamente previstas no artigo 78 da Lei nº. 8.666/1993 constituem motivos para a rescisão do contrato</w:t>
      </w:r>
      <w:r w:rsidR="00623F21">
        <w:rPr>
          <w:rFonts w:ascii="Azo Sans Md" w:hAnsi="Azo Sans Md" w:cstheme="minorHAnsi"/>
        </w:rPr>
        <w:t>:</w:t>
      </w:r>
    </w:p>
    <w:p w14:paraId="26B2F4E3" w14:textId="6120E9FB" w:rsidR="00623F21" w:rsidRPr="00623F21" w:rsidRDefault="00873CE3" w:rsidP="00623F21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873CE3">
        <w:rPr>
          <w:rFonts w:ascii="Azo Sans Md" w:hAnsi="Azo Sans Md" w:cstheme="minorHAnsi"/>
          <w:lang w:val="pt-BR"/>
        </w:rPr>
        <w:t>Atraso injustificado na prestação dos serviços, bem como a sua paralisação sem justa causa e prévia comunicação a Secretaria Municipal de Saúde</w:t>
      </w:r>
      <w:r w:rsidR="00623F21" w:rsidRPr="00623F21">
        <w:rPr>
          <w:rFonts w:ascii="Azo Sans Md" w:hAnsi="Azo Sans Md" w:cstheme="minorHAnsi"/>
        </w:rPr>
        <w:t>.</w:t>
      </w:r>
    </w:p>
    <w:p w14:paraId="4F4A527E" w14:textId="5DD55337" w:rsidR="00623F21" w:rsidRDefault="00873CE3" w:rsidP="00623F21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873CE3">
        <w:rPr>
          <w:rFonts w:ascii="Azo Sans Md" w:hAnsi="Azo Sans Md" w:cstheme="minorHAnsi"/>
          <w:lang w:val="pt-BR"/>
        </w:rPr>
        <w:t>O cometimento reiterado de falhas, comprovadas por meio de registro próprio efetuado pelo representante da Secretaria Municipal de Saúde</w:t>
      </w:r>
      <w:r w:rsidR="00623F21">
        <w:rPr>
          <w:rFonts w:ascii="Azo Sans Md" w:hAnsi="Azo Sans Md" w:cstheme="minorHAnsi"/>
        </w:rPr>
        <w:t>.</w:t>
      </w:r>
    </w:p>
    <w:p w14:paraId="2BBD002B" w14:textId="0AF39CFE" w:rsidR="001D32DF" w:rsidRPr="00C54DFB" w:rsidRDefault="00873CE3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873CE3">
        <w:rPr>
          <w:rFonts w:ascii="Azo Sans Md" w:hAnsi="Azo Sans Md" w:cstheme="minorHAnsi"/>
          <w:lang w:val="pt-BR"/>
        </w:rPr>
        <w:t>Ao Município de Nova Friburgo é reconhecido o direito de rescisão administrativa, nos termos do artigo 79, inciso I, da Lei nº. 8.666/93, aplicando-se, no que couber, as disposições dos parágrafos primeiro e o segundo do mesmo artigo, bem como as do artigo 80</w:t>
      </w:r>
      <w:r w:rsidR="001D32DF" w:rsidRPr="00C54DFB">
        <w:rPr>
          <w:rFonts w:ascii="Azo Sans Md" w:hAnsi="Azo Sans Md" w:cstheme="minorHAnsi"/>
        </w:rPr>
        <w:t>.</w:t>
      </w:r>
    </w:p>
    <w:p w14:paraId="0D5AF7F3" w14:textId="604BC067" w:rsidR="00763341" w:rsidRPr="00C54DFB" w:rsidRDefault="00763341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623F21">
        <w:rPr>
          <w:rFonts w:ascii="Azo Sans Md" w:hAnsi="Azo Sans Md" w:cstheme="minorHAnsi"/>
          <w:sz w:val="22"/>
          <w:szCs w:val="22"/>
        </w:rPr>
        <w:t>QUARTA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VEDAÇÕES </w:t>
      </w:r>
    </w:p>
    <w:p w14:paraId="6C1BCC3A" w14:textId="66275043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É vedado à CONTRATADA interromper a execução dos serviços sob alegação de inadimplemento por parte da CONTRATANTE, salvo nos casos previstos em lei.</w:t>
      </w:r>
    </w:p>
    <w:p w14:paraId="044FCB60" w14:textId="00AB420D" w:rsidR="00010323" w:rsidRPr="00EC0B90" w:rsidRDefault="00EC0B90" w:rsidP="00EC0B90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t xml:space="preserve">- </w:t>
      </w:r>
      <w:r w:rsidR="00010323" w:rsidRPr="00EC0B90">
        <w:rPr>
          <w:rFonts w:ascii="Azo Sans Md" w:hAnsi="Azo Sans Md" w:cstheme="minorHAnsi"/>
          <w:sz w:val="22"/>
          <w:szCs w:val="22"/>
        </w:rPr>
        <w:t>CLÁUSULA DÉCIMA QU</w:t>
      </w:r>
      <w:r w:rsidR="00623F21" w:rsidRPr="00EC0B90">
        <w:rPr>
          <w:rFonts w:ascii="Azo Sans Md" w:hAnsi="Azo Sans Md" w:cstheme="minorHAnsi"/>
          <w:sz w:val="22"/>
          <w:szCs w:val="22"/>
        </w:rPr>
        <w:t>INTA</w:t>
      </w:r>
      <w:r w:rsidR="00010323" w:rsidRPr="00EC0B90">
        <w:rPr>
          <w:rFonts w:ascii="Azo Sans Md" w:hAnsi="Azo Sans Md" w:cstheme="minorHAnsi"/>
          <w:sz w:val="22"/>
          <w:szCs w:val="22"/>
        </w:rPr>
        <w:t xml:space="preserve"> – ALTERAÇÃO SUBJETIVA</w:t>
      </w:r>
    </w:p>
    <w:p w14:paraId="24A0FDA7" w14:textId="469F0EE7" w:rsidR="007270C7" w:rsidRPr="00C54DFB" w:rsidRDefault="00873CE3" w:rsidP="007270C7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bookmarkStart w:id="1" w:name="_Hlk102642670"/>
      <w:r w:rsidRPr="00873CE3">
        <w:rPr>
          <w:rFonts w:ascii="Azo Sans Md" w:hAnsi="Azo Sans Md" w:cstheme="minorHAnsi"/>
          <w:lang w:val="pt-BR"/>
        </w:rPr>
        <w:t>É admissível a fusão, cisão ou incorporação da empresa vencedora com/em outra pessoa jurídica, desde que sejam observados por esta nova pessoa jurídica rodos os requisitos de habilitação exigidos, sejam mantidas as demais cláusulas e condições do contrato, não haja prejuízo à execução do objeto pactuado e haja a anuência expressa da Administração à continuidade do contrato</w:t>
      </w:r>
      <w:r w:rsidR="007270C7" w:rsidRPr="00C54DFB">
        <w:rPr>
          <w:rFonts w:ascii="Azo Sans Md" w:hAnsi="Azo Sans Md" w:cstheme="minorHAnsi"/>
        </w:rPr>
        <w:t>.</w:t>
      </w:r>
    </w:p>
    <w:p w14:paraId="49EC4A23" w14:textId="563FCD25" w:rsidR="00837319" w:rsidRPr="00C54DFB" w:rsidRDefault="00EC0B90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lastRenderedPageBreak/>
        <w:t xml:space="preserve">- </w:t>
      </w:r>
      <w:r w:rsidR="00837319" w:rsidRPr="00EC0B90">
        <w:rPr>
          <w:rFonts w:ascii="Azo Sans Md" w:hAnsi="Azo Sans Md" w:cstheme="minorHAnsi"/>
          <w:sz w:val="22"/>
          <w:szCs w:val="22"/>
        </w:rPr>
        <w:t>CLÁUSULA DÉCIMA</w:t>
      </w:r>
      <w:r w:rsidR="00623F21" w:rsidRPr="00EC0B90">
        <w:rPr>
          <w:rFonts w:ascii="Azo Sans Md" w:hAnsi="Azo Sans Md" w:cstheme="minorHAnsi"/>
          <w:sz w:val="22"/>
          <w:szCs w:val="22"/>
        </w:rPr>
        <w:t xml:space="preserve"> SEX</w:t>
      </w:r>
      <w:r w:rsidR="00837319" w:rsidRPr="00EC0B90">
        <w:rPr>
          <w:rFonts w:ascii="Azo Sans Md" w:hAnsi="Azo Sans Md" w:cstheme="minorHAnsi"/>
          <w:sz w:val="22"/>
          <w:szCs w:val="22"/>
        </w:rPr>
        <w:t>TA - MEDIDAS ACAUTELADORAS</w:t>
      </w:r>
    </w:p>
    <w:p w14:paraId="360CE7CF" w14:textId="117E36E1" w:rsidR="00837319" w:rsidRPr="00C54DFB" w:rsidRDefault="00A96CB2" w:rsidP="00A75B6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A96CB2">
        <w:rPr>
          <w:rFonts w:ascii="Azo Sans Md" w:hAnsi="Azo Sans Md" w:cstheme="minorHAnsi"/>
          <w:lang w:val="pt-BR"/>
        </w:rPr>
        <w:t>Consoante o artigo 45 da Lei 9.784, de 1999, a Administração Pública poderá sem a prévia manifestação do interessado, motivadamente, adotar providências acauteladoras, inclusive retendo o pagamento, em caso de risco iminente, como forma de prevenir a ocorrência de dano de difícil ou impossível reparação</w:t>
      </w:r>
      <w:r w:rsidR="00837319" w:rsidRPr="00C54DFB">
        <w:rPr>
          <w:rFonts w:ascii="Azo Sans Md" w:hAnsi="Azo Sans Md" w:cstheme="minorHAnsi"/>
        </w:rPr>
        <w:t>.</w:t>
      </w:r>
    </w:p>
    <w:p w14:paraId="2AA8FD78" w14:textId="0840C07F" w:rsidR="00837319" w:rsidRPr="00C54DFB" w:rsidRDefault="00EC0B90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>
        <w:rPr>
          <w:rFonts w:ascii="Azo Sans Md" w:hAnsi="Azo Sans Md" w:cstheme="minorHAnsi"/>
          <w:sz w:val="22"/>
          <w:szCs w:val="22"/>
        </w:rPr>
        <w:t xml:space="preserve">- </w:t>
      </w:r>
      <w:r w:rsidR="00837319" w:rsidRPr="00EC0B90">
        <w:rPr>
          <w:rFonts w:ascii="Azo Sans Md" w:hAnsi="Azo Sans Md" w:cstheme="minorHAnsi"/>
          <w:sz w:val="22"/>
          <w:szCs w:val="22"/>
        </w:rPr>
        <w:t>CLÁUSULA DÉCIMA S</w:t>
      </w:r>
      <w:r w:rsidR="00623F21" w:rsidRPr="00EC0B90">
        <w:rPr>
          <w:rFonts w:ascii="Azo Sans Md" w:hAnsi="Azo Sans Md" w:cstheme="minorHAnsi"/>
          <w:sz w:val="22"/>
          <w:szCs w:val="22"/>
        </w:rPr>
        <w:t>ÉTIMA</w:t>
      </w:r>
      <w:r w:rsidR="00837319" w:rsidRPr="00EC0B90">
        <w:rPr>
          <w:rFonts w:ascii="Azo Sans Md" w:hAnsi="Azo Sans Md" w:cstheme="minorHAnsi"/>
          <w:sz w:val="22"/>
          <w:szCs w:val="22"/>
        </w:rPr>
        <w:t xml:space="preserve"> –  SUBCONTRATAÇÃO</w:t>
      </w:r>
    </w:p>
    <w:p w14:paraId="564766C7" w14:textId="044E5B1A" w:rsidR="00837319" w:rsidRPr="00C54DFB" w:rsidRDefault="00837319" w:rsidP="00837319">
      <w:pPr>
        <w:widowControl/>
        <w:numPr>
          <w:ilvl w:val="1"/>
          <w:numId w:val="27"/>
        </w:numPr>
        <w:autoSpaceDE/>
        <w:autoSpaceDN/>
        <w:spacing w:before="120" w:after="120"/>
        <w:ind w:left="425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  <w:lang w:val="pt-BR"/>
        </w:rPr>
        <w:t>Não será admitida a subcontratação do objeto.</w:t>
      </w:r>
    </w:p>
    <w:p w14:paraId="7E3E88D4" w14:textId="4F59925B" w:rsidR="00763341" w:rsidRPr="00C54DFB" w:rsidRDefault="00763341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bookmarkStart w:id="2" w:name="_Hlk102642787"/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623F21">
        <w:rPr>
          <w:rFonts w:ascii="Azo Sans Md" w:hAnsi="Azo Sans Md" w:cstheme="minorHAnsi"/>
          <w:sz w:val="22"/>
          <w:szCs w:val="22"/>
        </w:rPr>
        <w:t>OITAVA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</w:t>
      </w:r>
      <w:bookmarkEnd w:id="2"/>
      <w:r w:rsidR="001D32DF" w:rsidRPr="00C54DFB">
        <w:rPr>
          <w:rFonts w:ascii="Azo Sans Md" w:hAnsi="Azo Sans Md" w:cstheme="minorHAnsi"/>
          <w:sz w:val="22"/>
          <w:szCs w:val="22"/>
        </w:rPr>
        <w:t>– ALTERAÇÕES</w:t>
      </w:r>
    </w:p>
    <w:bookmarkEnd w:id="1"/>
    <w:p w14:paraId="4A2117CD" w14:textId="77777777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Eventuais alterações contratuais reger-se-ão pela disciplina do art. 65 da Lei nº 8.666, de 1993.</w:t>
      </w:r>
    </w:p>
    <w:p w14:paraId="729AF0D5" w14:textId="77777777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779A13A6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As supressões resultantes de acordo celebrado entre as partes contratantes poderão exceder o limite de 25% (vinte e cinco por cento) do valor inicial atualizado do contrato.</w:t>
      </w:r>
    </w:p>
    <w:p w14:paraId="1512E8FE" w14:textId="384E229C" w:rsidR="000F2826" w:rsidRPr="00C54DFB" w:rsidRDefault="000F2826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DÉCIMA </w:t>
      </w:r>
      <w:r w:rsidR="00623F21">
        <w:rPr>
          <w:rFonts w:ascii="Azo Sans Md" w:hAnsi="Azo Sans Md" w:cstheme="minorHAnsi"/>
          <w:sz w:val="22"/>
          <w:szCs w:val="22"/>
        </w:rPr>
        <w:t>NONA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- DOS CASOS OMISSOS.</w:t>
      </w:r>
    </w:p>
    <w:p w14:paraId="3B35482C" w14:textId="6DC9F3C7" w:rsidR="001D32DF" w:rsidRPr="00C54DFB" w:rsidRDefault="001D32DF" w:rsidP="00A75B6C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23811D85" w14:textId="78A5A89C" w:rsidR="000F2826" w:rsidRPr="00C54DFB" w:rsidRDefault="000F2826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bookmarkStart w:id="3" w:name="_Hlk102642866"/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</w:t>
      </w:r>
      <w:r w:rsidR="00623F21">
        <w:rPr>
          <w:rFonts w:ascii="Azo Sans Md" w:hAnsi="Azo Sans Md" w:cstheme="minorHAnsi"/>
          <w:sz w:val="22"/>
          <w:szCs w:val="22"/>
        </w:rPr>
        <w:t>VIGÉSIMA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PUBLICAÇÃO</w:t>
      </w:r>
      <w:bookmarkEnd w:id="3"/>
    </w:p>
    <w:p w14:paraId="5CFD7C79" w14:textId="77777777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Incumbirá à CONTRATANTE providenciar a publicação deste instrumento, por extrato, no Diário Oficial da União, no prazo previsto na Lei nº 8.666, de 1993.</w:t>
      </w:r>
    </w:p>
    <w:p w14:paraId="06D1B681" w14:textId="25107138" w:rsidR="000F2826" w:rsidRPr="00C54DFB" w:rsidRDefault="000F2826" w:rsidP="00BE3C4E">
      <w:pPr>
        <w:pStyle w:val="Nivel01"/>
        <w:numPr>
          <w:ilvl w:val="0"/>
          <w:numId w:val="27"/>
        </w:numPr>
        <w:rPr>
          <w:rFonts w:ascii="Azo Sans Md" w:hAnsi="Azo Sans Md" w:cstheme="minorHAnsi"/>
          <w:sz w:val="22"/>
          <w:szCs w:val="22"/>
        </w:rPr>
      </w:pPr>
      <w:r w:rsidRPr="00C54DFB">
        <w:rPr>
          <w:rFonts w:ascii="Azo Sans Md" w:hAnsi="Azo Sans Md" w:cstheme="minorHAnsi"/>
          <w:sz w:val="22"/>
          <w:szCs w:val="22"/>
        </w:rPr>
        <w:t xml:space="preserve">- 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CLÁUSULA </w:t>
      </w:r>
      <w:r w:rsidR="00837319" w:rsidRPr="00C54DFB">
        <w:rPr>
          <w:rFonts w:ascii="Azo Sans Md" w:hAnsi="Azo Sans Md" w:cstheme="minorHAnsi"/>
          <w:sz w:val="22"/>
          <w:szCs w:val="22"/>
        </w:rPr>
        <w:t>VIGÉSIMA</w:t>
      </w:r>
      <w:r w:rsidR="00623F21">
        <w:rPr>
          <w:rFonts w:ascii="Azo Sans Md" w:hAnsi="Azo Sans Md" w:cstheme="minorHAnsi"/>
          <w:sz w:val="22"/>
          <w:szCs w:val="22"/>
        </w:rPr>
        <w:t xml:space="preserve"> PRIMEIRA</w:t>
      </w:r>
      <w:r w:rsidR="001D32DF" w:rsidRPr="00C54DFB">
        <w:rPr>
          <w:rFonts w:ascii="Azo Sans Md" w:hAnsi="Azo Sans Md" w:cstheme="minorHAnsi"/>
          <w:sz w:val="22"/>
          <w:szCs w:val="22"/>
        </w:rPr>
        <w:t xml:space="preserve"> – FORO</w:t>
      </w:r>
    </w:p>
    <w:p w14:paraId="3B80006D" w14:textId="5E1C6D89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 xml:space="preserve">É eleito o Foro da </w:t>
      </w:r>
      <w:r w:rsidR="007168B3" w:rsidRPr="00C54DFB">
        <w:rPr>
          <w:rFonts w:ascii="Azo Sans Md" w:hAnsi="Azo Sans Md" w:cstheme="minorHAnsi"/>
        </w:rPr>
        <w:t>comarca de Nova Friburgo/RJ</w:t>
      </w:r>
      <w:r w:rsidRPr="00C54DFB">
        <w:rPr>
          <w:rFonts w:ascii="Azo Sans Md" w:hAnsi="Azo Sans Md" w:cstheme="minorHAnsi"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389D31E9" w14:textId="4A054268" w:rsidR="001D32DF" w:rsidRPr="00C54DFB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 xml:space="preserve">Para firmeza e validade do pactuado, o presente Termo de Contrato foi lavrado em </w:t>
      </w:r>
      <w:r w:rsidR="00466BF6" w:rsidRPr="00C54DFB">
        <w:rPr>
          <w:rFonts w:ascii="Azo Sans Md" w:hAnsi="Azo Sans Md" w:cstheme="minorHAnsi"/>
        </w:rPr>
        <w:t>03</w:t>
      </w:r>
      <w:r w:rsidRPr="00C54DFB">
        <w:rPr>
          <w:rFonts w:ascii="Azo Sans Md" w:hAnsi="Azo Sans Md" w:cstheme="minorHAnsi"/>
        </w:rPr>
        <w:t xml:space="preserve"> (</w:t>
      </w:r>
      <w:r w:rsidR="00466BF6" w:rsidRPr="00C54DFB">
        <w:rPr>
          <w:rFonts w:ascii="Azo Sans Md" w:hAnsi="Azo Sans Md" w:cstheme="minorHAnsi"/>
        </w:rPr>
        <w:t>três</w:t>
      </w:r>
      <w:r w:rsidRPr="00C54DFB">
        <w:rPr>
          <w:rFonts w:ascii="Azo Sans Md" w:hAnsi="Azo Sans Md" w:cstheme="minorHAnsi"/>
        </w:rPr>
        <w:t xml:space="preserve">) vias de igual teor, que, depois de lido e achado em ordem, vai assinado pelos contraentes. </w:t>
      </w:r>
    </w:p>
    <w:p w14:paraId="46D17E9A" w14:textId="77777777" w:rsidR="00A75B6C" w:rsidRPr="00C54DFB" w:rsidRDefault="00A75B6C" w:rsidP="00A75B6C">
      <w:pPr>
        <w:widowControl/>
        <w:autoSpaceDE/>
        <w:autoSpaceDN/>
        <w:spacing w:before="120" w:after="120"/>
        <w:jc w:val="both"/>
        <w:rPr>
          <w:rFonts w:ascii="Azo Sans Md" w:hAnsi="Azo Sans Md" w:cstheme="minorHAnsi"/>
        </w:rPr>
      </w:pPr>
    </w:p>
    <w:p w14:paraId="706E54F0" w14:textId="77777777" w:rsidR="000F2826" w:rsidRPr="00C54DFB" w:rsidRDefault="000F2826" w:rsidP="001D32DF">
      <w:pPr>
        <w:spacing w:before="120" w:after="120" w:line="276" w:lineRule="auto"/>
        <w:jc w:val="both"/>
        <w:rPr>
          <w:rFonts w:ascii="Azo Sans Md" w:hAnsi="Azo Sans Md" w:cstheme="minorHAnsi"/>
        </w:rPr>
      </w:pPr>
    </w:p>
    <w:p w14:paraId="01908919" w14:textId="53BD74CC" w:rsidR="001D32DF" w:rsidRPr="00C54DFB" w:rsidRDefault="001D32DF" w:rsidP="001D32DF">
      <w:pPr>
        <w:spacing w:after="120" w:line="360" w:lineRule="auto"/>
        <w:ind w:right="-15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...........................................,  .......... de.......................................... de 20.....</w:t>
      </w:r>
    </w:p>
    <w:p w14:paraId="26368875" w14:textId="6DF2A638" w:rsidR="000F2826" w:rsidRPr="00C54DFB" w:rsidRDefault="000F2826" w:rsidP="001D32DF">
      <w:pPr>
        <w:spacing w:after="120" w:line="360" w:lineRule="auto"/>
        <w:ind w:right="-15"/>
        <w:jc w:val="both"/>
        <w:rPr>
          <w:rFonts w:ascii="Azo Sans Md" w:hAnsi="Azo Sans Md" w:cstheme="minorHAnsi"/>
        </w:rPr>
      </w:pPr>
    </w:p>
    <w:p w14:paraId="0474FF7C" w14:textId="77777777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  <w:bCs/>
        </w:rPr>
      </w:pPr>
      <w:r w:rsidRPr="00C54DFB">
        <w:rPr>
          <w:rFonts w:ascii="Azo Sans Md" w:hAnsi="Azo Sans Md" w:cstheme="minorHAnsi"/>
          <w:bCs/>
        </w:rPr>
        <w:t>_________________________</w:t>
      </w:r>
    </w:p>
    <w:p w14:paraId="1779E7D1" w14:textId="151DBBE2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  <w:bCs/>
        </w:rPr>
      </w:pPr>
      <w:r w:rsidRPr="00C54DFB">
        <w:rPr>
          <w:rFonts w:ascii="Azo Sans Md" w:hAnsi="Azo Sans Md" w:cstheme="minorHAnsi"/>
          <w:bCs/>
        </w:rPr>
        <w:lastRenderedPageBreak/>
        <w:t>Responsável legal da CONTRATANTE</w:t>
      </w:r>
    </w:p>
    <w:p w14:paraId="5E18F1B2" w14:textId="77777777" w:rsidR="00A75B6C" w:rsidRPr="00C54DFB" w:rsidRDefault="00A75B6C" w:rsidP="00A96CB2">
      <w:pPr>
        <w:spacing w:after="120"/>
        <w:rPr>
          <w:rFonts w:ascii="Azo Sans Md" w:hAnsi="Azo Sans Md" w:cstheme="minorHAnsi"/>
          <w:bCs/>
        </w:rPr>
      </w:pPr>
    </w:p>
    <w:p w14:paraId="3ABEFBC1" w14:textId="77777777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_________________________</w:t>
      </w:r>
    </w:p>
    <w:p w14:paraId="4BCCED7F" w14:textId="50A1A25A" w:rsidR="001D32DF" w:rsidRPr="00C54DFB" w:rsidRDefault="001D32DF" w:rsidP="001D32DF">
      <w:pPr>
        <w:spacing w:after="120"/>
        <w:jc w:val="center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Responsável legal da CONTRATADA</w:t>
      </w:r>
    </w:p>
    <w:p w14:paraId="71B10439" w14:textId="77777777" w:rsidR="00A75B6C" w:rsidRPr="00C54DFB" w:rsidRDefault="00A75B6C" w:rsidP="001F44F7">
      <w:pPr>
        <w:spacing w:after="120"/>
        <w:jc w:val="both"/>
        <w:rPr>
          <w:rFonts w:ascii="Azo Sans Md" w:hAnsi="Azo Sans Md" w:cstheme="minorHAnsi"/>
        </w:rPr>
      </w:pPr>
    </w:p>
    <w:p w14:paraId="102AB38A" w14:textId="77777777" w:rsidR="00A75B6C" w:rsidRPr="00C54DFB" w:rsidRDefault="00A75B6C" w:rsidP="001F44F7">
      <w:pPr>
        <w:spacing w:after="120"/>
        <w:jc w:val="both"/>
        <w:rPr>
          <w:rFonts w:ascii="Azo Sans Md" w:hAnsi="Azo Sans Md" w:cstheme="minorHAnsi"/>
        </w:rPr>
      </w:pPr>
    </w:p>
    <w:p w14:paraId="5D57D0AF" w14:textId="2EFBE270" w:rsidR="001F44F7" w:rsidRPr="00C54DFB" w:rsidRDefault="001F44F7" w:rsidP="001F44F7">
      <w:pPr>
        <w:spacing w:after="120"/>
        <w:jc w:val="both"/>
        <w:rPr>
          <w:rFonts w:ascii="Azo Sans Md" w:hAnsi="Azo Sans Md" w:cstheme="minorHAnsi"/>
        </w:rPr>
      </w:pPr>
      <w:r w:rsidRPr="00C54DFB">
        <w:rPr>
          <w:rFonts w:ascii="Azo Sans Md" w:hAnsi="Azo Sans Md" w:cstheme="minorHAnsi"/>
        </w:rPr>
        <w:t>TESTEMUNHAS:</w:t>
      </w:r>
    </w:p>
    <w:p w14:paraId="4276C61F" w14:textId="31F8F4D3" w:rsidR="007F7B13" w:rsidRPr="00C54DFB" w:rsidRDefault="007F7B13" w:rsidP="003C15BE">
      <w:pPr>
        <w:spacing w:after="120"/>
        <w:jc w:val="both"/>
        <w:rPr>
          <w:rFonts w:ascii="Azo Sans Md" w:hAnsi="Azo Sans Md" w:cstheme="minorHAnsi"/>
          <w:lang w:val="pt-BR"/>
        </w:rPr>
      </w:pPr>
    </w:p>
    <w:sectPr w:rsidR="007F7B13" w:rsidRPr="00C54DFB" w:rsidSect="009F2F85">
      <w:headerReference w:type="default" r:id="rId8"/>
      <w:footerReference w:type="default" r:id="rId9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E05D" w14:textId="77777777" w:rsidR="00EE3AFB" w:rsidRDefault="00EE3AFB">
      <w:r>
        <w:separator/>
      </w:r>
    </w:p>
  </w:endnote>
  <w:endnote w:type="continuationSeparator" w:id="0">
    <w:p w14:paraId="4A6C8E7C" w14:textId="77777777" w:rsidR="00EE3AFB" w:rsidRDefault="00EE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435CF93D" w14:textId="622A48EC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6F15C2F4" w:rsidR="002663BD" w:rsidRPr="00187C1B" w:rsidRDefault="002663BD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CNPJ: 28.606.630/0001- 23 - e-mail: </w:t>
    </w:r>
    <w:hyperlink r:id="rId1" w:history="1">
      <w:r w:rsidR="00B27105" w:rsidRPr="00187C1B">
        <w:rPr>
          <w:rStyle w:val="Hyperlink"/>
          <w:rFonts w:ascii="Azo Sans Md" w:hAnsi="Azo Sans Md"/>
          <w:b/>
          <w:bCs/>
          <w:sz w:val="18"/>
          <w:szCs w:val="18"/>
        </w:rPr>
        <w:t>pregaoeletronico.friburgo@gmail.com</w:t>
      </w:r>
    </w:hyperlink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– Telefone: (22) 2523-1113</w:t>
    </w:r>
  </w:p>
  <w:p w14:paraId="51BD31BF" w14:textId="77777777" w:rsidR="005E2922" w:rsidRPr="00187C1B" w:rsidRDefault="005E2922" w:rsidP="002663BD">
    <w:pPr>
      <w:pStyle w:val="Rodap"/>
      <w:jc w:val="center"/>
      <w:rPr>
        <w:rFonts w:ascii="Azo Sans Md" w:hAnsi="Azo Sans Md"/>
        <w:b/>
        <w:bCs/>
        <w:color w:val="000000"/>
        <w:sz w:val="18"/>
        <w:szCs w:val="18"/>
      </w:rPr>
    </w:pPr>
  </w:p>
  <w:p w14:paraId="02A9EEA9" w14:textId="061F94FF" w:rsidR="002663BD" w:rsidRPr="00187C1B" w:rsidRDefault="002663BD" w:rsidP="002663BD">
    <w:pPr>
      <w:pStyle w:val="Rodap"/>
      <w:jc w:val="right"/>
      <w:rPr>
        <w:rFonts w:ascii="Azo Sans Md" w:hAnsi="Azo Sans Md"/>
        <w:sz w:val="18"/>
        <w:szCs w:val="18"/>
      </w:rPr>
    </w:pP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Página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PAGE  \* Arabic  \*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1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  <w:r w:rsidRPr="00187C1B">
      <w:rPr>
        <w:rFonts w:ascii="Azo Sans Md" w:hAnsi="Azo Sans Md"/>
        <w:b/>
        <w:bCs/>
        <w:color w:val="000000"/>
        <w:sz w:val="18"/>
        <w:szCs w:val="18"/>
      </w:rPr>
      <w:t xml:space="preserve"> de 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begin"/>
    </w:r>
    <w:r w:rsidRPr="00187C1B">
      <w:rPr>
        <w:rFonts w:ascii="Azo Sans Md" w:hAnsi="Azo Sans Md"/>
        <w:b/>
        <w:bCs/>
        <w:color w:val="000000"/>
        <w:sz w:val="18"/>
        <w:szCs w:val="18"/>
      </w:rPr>
      <w:instrText>NUMPAGES \ * Arábico \ * MERGEFORMAT</w:instrTex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separate"/>
    </w:r>
    <w:r w:rsidRPr="00187C1B">
      <w:rPr>
        <w:rFonts w:ascii="Azo Sans Md" w:hAnsi="Azo Sans Md"/>
        <w:b/>
        <w:bCs/>
        <w:color w:val="000000"/>
        <w:sz w:val="18"/>
        <w:szCs w:val="18"/>
      </w:rPr>
      <w:t>4</w:t>
    </w:r>
    <w:r w:rsidRPr="00187C1B">
      <w:rPr>
        <w:rFonts w:ascii="Azo Sans Md" w:hAnsi="Azo Sans Md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0D64C" w14:textId="77777777" w:rsidR="00EE3AFB" w:rsidRDefault="00EE3AFB">
      <w:r>
        <w:separator/>
      </w:r>
    </w:p>
  </w:footnote>
  <w:footnote w:type="continuationSeparator" w:id="0">
    <w:p w14:paraId="42C6C35D" w14:textId="77777777" w:rsidR="00EE3AFB" w:rsidRDefault="00EE3A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2CC1" w14:textId="2846EA6B" w:rsidR="009F2F85" w:rsidRDefault="00043FA7" w:rsidP="00043FA7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68E1A6" wp14:editId="44EC64C2">
          <wp:simplePos x="0" y="0"/>
          <wp:positionH relativeFrom="column">
            <wp:posOffset>3810</wp:posOffset>
          </wp:positionH>
          <wp:positionV relativeFrom="paragraph">
            <wp:posOffset>-6985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1A3DC3A9" w14:textId="1D7CF701" w:rsidR="00043FA7" w:rsidRDefault="00C54DFB" w:rsidP="00043FA7">
    <w:pPr>
      <w:pStyle w:val="Cabealho"/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023FA7D" wp14:editId="4A7CCBFA">
              <wp:simplePos x="0" y="0"/>
              <wp:positionH relativeFrom="column">
                <wp:posOffset>3909695</wp:posOffset>
              </wp:positionH>
              <wp:positionV relativeFrom="paragraph">
                <wp:posOffset>22284</wp:posOffset>
              </wp:positionV>
              <wp:extent cx="1876425" cy="428625"/>
              <wp:effectExtent l="0" t="0" r="28575" b="2857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F346666" w14:textId="6D367340" w:rsidR="00043FA7" w:rsidRDefault="00043FA7" w:rsidP="00043FA7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6E41E6">
                            <w:rPr>
                              <w:rFonts w:cs="Calibri"/>
                              <w:sz w:val="20"/>
                              <w:szCs w:val="20"/>
                            </w:rPr>
                            <w:t>08.004/2020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48494C8B" w14:textId="77777777" w:rsidR="00043FA7" w:rsidRDefault="00043FA7" w:rsidP="00043FA7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23FA7D" id="Retângulo 3" o:spid="_x0000_s1026" style="position:absolute;margin-left:307.85pt;margin-top:1.75pt;width:147.75pt;height:33.75pt;z-index:-25165721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" strokeweight=".26mm">
              <v:stroke joinstyle="round"/>
              <v:path arrowok="t"/>
              <v:textbox>
                <w:txbxContent>
                  <w:p w14:paraId="6F346666" w14:textId="6D367340" w:rsidR="00043FA7" w:rsidRDefault="00043FA7" w:rsidP="00043FA7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6E41E6">
                      <w:rPr>
                        <w:rFonts w:cs="Calibri"/>
                        <w:sz w:val="20"/>
                        <w:szCs w:val="20"/>
                      </w:rPr>
                      <w:t>08.004/2020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48494C8B" w14:textId="77777777" w:rsidR="00043FA7" w:rsidRDefault="00043FA7" w:rsidP="00043FA7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514B5829" w14:textId="2640C2C6" w:rsidR="00043FA7" w:rsidRDefault="00043FA7" w:rsidP="00043FA7">
    <w:pPr>
      <w:pStyle w:val="Cabealho"/>
    </w:pPr>
  </w:p>
  <w:p w14:paraId="5FE61054" w14:textId="14A811B2" w:rsidR="00043FA7" w:rsidRDefault="00043FA7" w:rsidP="00043FA7">
    <w:pPr>
      <w:pStyle w:val="Cabealho"/>
    </w:pPr>
  </w:p>
  <w:p w14:paraId="51421F85" w14:textId="2E16162B" w:rsidR="00043FA7" w:rsidRDefault="00043FA7" w:rsidP="00043FA7">
    <w:pPr>
      <w:pStyle w:val="Cabealho"/>
    </w:pPr>
  </w:p>
  <w:p w14:paraId="205D498A" w14:textId="77777777" w:rsidR="00043FA7" w:rsidRPr="00043FA7" w:rsidRDefault="00043FA7" w:rsidP="00043FA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04255B8"/>
    <w:multiLevelType w:val="multilevel"/>
    <w:tmpl w:val="86B446CC"/>
    <w:lvl w:ilvl="0">
      <w:start w:val="1"/>
      <w:numFmt w:val="decimal"/>
      <w:lvlText w:val="%1-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20"/>
  </w:num>
  <w:num w:numId="3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2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0"/>
  </w:num>
  <w:num w:numId="9">
    <w:abstractNumId w:val="20"/>
  </w:num>
  <w:num w:numId="10">
    <w:abstractNumId w:val="16"/>
  </w:num>
  <w:num w:numId="11">
    <w:abstractNumId w:val="17"/>
  </w:num>
  <w:num w:numId="12">
    <w:abstractNumId w:val="22"/>
  </w:num>
  <w:num w:numId="13">
    <w:abstractNumId w:val="14"/>
  </w:num>
  <w:num w:numId="14">
    <w:abstractNumId w:val="24"/>
  </w:num>
  <w:num w:numId="15">
    <w:abstractNumId w:val="3"/>
  </w:num>
  <w:num w:numId="16">
    <w:abstractNumId w:val="11"/>
  </w:num>
  <w:num w:numId="17">
    <w:abstractNumId w:val="7"/>
  </w:num>
  <w:num w:numId="18">
    <w:abstractNumId w:val="23"/>
  </w:num>
  <w:num w:numId="19">
    <w:abstractNumId w:val="5"/>
  </w:num>
  <w:num w:numId="20">
    <w:abstractNumId w:val="9"/>
  </w:num>
  <w:num w:numId="21">
    <w:abstractNumId w:val="21"/>
  </w:num>
  <w:num w:numId="22">
    <w:abstractNumId w:val="18"/>
  </w:num>
  <w:num w:numId="23">
    <w:abstractNumId w:val="4"/>
  </w:num>
  <w:num w:numId="24">
    <w:abstractNumId w:val="19"/>
  </w:num>
  <w:num w:numId="25">
    <w:abstractNumId w:val="15"/>
  </w:num>
  <w:num w:numId="26">
    <w:abstractNumId w:val="8"/>
  </w:num>
  <w:num w:numId="27">
    <w:abstractNumId w:val="10"/>
  </w:num>
  <w:num w:numId="28">
    <w:abstractNumId w:val="1"/>
  </w:num>
  <w:num w:numId="29">
    <w:abstractNumId w:val="1"/>
  </w:num>
  <w:num w:numId="30">
    <w:abstractNumId w:val="1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16803"/>
    <w:rsid w:val="000168E3"/>
    <w:rsid w:val="00043FA7"/>
    <w:rsid w:val="00055A35"/>
    <w:rsid w:val="00060815"/>
    <w:rsid w:val="00064A3F"/>
    <w:rsid w:val="000659B7"/>
    <w:rsid w:val="00092735"/>
    <w:rsid w:val="00097D7B"/>
    <w:rsid w:val="000B23ED"/>
    <w:rsid w:val="000D6176"/>
    <w:rsid w:val="000E4CF2"/>
    <w:rsid w:val="000E6000"/>
    <w:rsid w:val="000E6DAE"/>
    <w:rsid w:val="000F0F17"/>
    <w:rsid w:val="000F2826"/>
    <w:rsid w:val="00100FEB"/>
    <w:rsid w:val="0010179C"/>
    <w:rsid w:val="00102A53"/>
    <w:rsid w:val="001079D7"/>
    <w:rsid w:val="001272CC"/>
    <w:rsid w:val="00130DCF"/>
    <w:rsid w:val="00165D70"/>
    <w:rsid w:val="00185DBF"/>
    <w:rsid w:val="00187C1B"/>
    <w:rsid w:val="00193060"/>
    <w:rsid w:val="001A0D41"/>
    <w:rsid w:val="001B5037"/>
    <w:rsid w:val="001D1890"/>
    <w:rsid w:val="001D32DF"/>
    <w:rsid w:val="001D4AC3"/>
    <w:rsid w:val="001E3568"/>
    <w:rsid w:val="001F44F7"/>
    <w:rsid w:val="00204C8A"/>
    <w:rsid w:val="00227DC7"/>
    <w:rsid w:val="00243E36"/>
    <w:rsid w:val="002556A7"/>
    <w:rsid w:val="002573CE"/>
    <w:rsid w:val="00257889"/>
    <w:rsid w:val="002663BD"/>
    <w:rsid w:val="00276B5D"/>
    <w:rsid w:val="0028199E"/>
    <w:rsid w:val="0028504B"/>
    <w:rsid w:val="002A7071"/>
    <w:rsid w:val="002E551F"/>
    <w:rsid w:val="002F2CC8"/>
    <w:rsid w:val="00315F43"/>
    <w:rsid w:val="0032285B"/>
    <w:rsid w:val="00326DB2"/>
    <w:rsid w:val="003370B0"/>
    <w:rsid w:val="00347799"/>
    <w:rsid w:val="0035743C"/>
    <w:rsid w:val="003578AC"/>
    <w:rsid w:val="00380F2F"/>
    <w:rsid w:val="00385663"/>
    <w:rsid w:val="00390F82"/>
    <w:rsid w:val="003920AB"/>
    <w:rsid w:val="00392DE5"/>
    <w:rsid w:val="0039504F"/>
    <w:rsid w:val="003A1163"/>
    <w:rsid w:val="003B2A0D"/>
    <w:rsid w:val="003B4554"/>
    <w:rsid w:val="003B5284"/>
    <w:rsid w:val="003B53CC"/>
    <w:rsid w:val="003C14A5"/>
    <w:rsid w:val="003C15BE"/>
    <w:rsid w:val="003C1DC7"/>
    <w:rsid w:val="003E4A77"/>
    <w:rsid w:val="00403108"/>
    <w:rsid w:val="0041063D"/>
    <w:rsid w:val="00413F35"/>
    <w:rsid w:val="00417717"/>
    <w:rsid w:val="00430C16"/>
    <w:rsid w:val="00436587"/>
    <w:rsid w:val="0044502E"/>
    <w:rsid w:val="00461F93"/>
    <w:rsid w:val="00466BF6"/>
    <w:rsid w:val="0047582C"/>
    <w:rsid w:val="0048007A"/>
    <w:rsid w:val="004959AC"/>
    <w:rsid w:val="004A09DC"/>
    <w:rsid w:val="004B61AB"/>
    <w:rsid w:val="004D3E0A"/>
    <w:rsid w:val="004E079B"/>
    <w:rsid w:val="004E221E"/>
    <w:rsid w:val="005041CA"/>
    <w:rsid w:val="005065E3"/>
    <w:rsid w:val="005241B8"/>
    <w:rsid w:val="005258A4"/>
    <w:rsid w:val="005466C3"/>
    <w:rsid w:val="00546D34"/>
    <w:rsid w:val="00563586"/>
    <w:rsid w:val="005C402B"/>
    <w:rsid w:val="005D7CC0"/>
    <w:rsid w:val="005E2922"/>
    <w:rsid w:val="005E753D"/>
    <w:rsid w:val="005F5E8D"/>
    <w:rsid w:val="005F6177"/>
    <w:rsid w:val="00604469"/>
    <w:rsid w:val="006154C0"/>
    <w:rsid w:val="00617943"/>
    <w:rsid w:val="00617E05"/>
    <w:rsid w:val="00620E2E"/>
    <w:rsid w:val="00623F21"/>
    <w:rsid w:val="0062482D"/>
    <w:rsid w:val="006306EF"/>
    <w:rsid w:val="00637E49"/>
    <w:rsid w:val="00641674"/>
    <w:rsid w:val="00645026"/>
    <w:rsid w:val="006709DA"/>
    <w:rsid w:val="0067457F"/>
    <w:rsid w:val="00691421"/>
    <w:rsid w:val="00696535"/>
    <w:rsid w:val="006B62AB"/>
    <w:rsid w:val="006D6562"/>
    <w:rsid w:val="006E41E6"/>
    <w:rsid w:val="006E5958"/>
    <w:rsid w:val="007168B3"/>
    <w:rsid w:val="007270C7"/>
    <w:rsid w:val="00735ADD"/>
    <w:rsid w:val="0075018C"/>
    <w:rsid w:val="007506FB"/>
    <w:rsid w:val="00763341"/>
    <w:rsid w:val="00773AA0"/>
    <w:rsid w:val="007767C7"/>
    <w:rsid w:val="00785D66"/>
    <w:rsid w:val="0079421E"/>
    <w:rsid w:val="007F7B13"/>
    <w:rsid w:val="00814BB1"/>
    <w:rsid w:val="008311C9"/>
    <w:rsid w:val="00831574"/>
    <w:rsid w:val="00837319"/>
    <w:rsid w:val="008375B8"/>
    <w:rsid w:val="00857EE4"/>
    <w:rsid w:val="00860A90"/>
    <w:rsid w:val="00870B00"/>
    <w:rsid w:val="00872F10"/>
    <w:rsid w:val="00873CE3"/>
    <w:rsid w:val="008756B2"/>
    <w:rsid w:val="008828B6"/>
    <w:rsid w:val="00884B47"/>
    <w:rsid w:val="00885008"/>
    <w:rsid w:val="0089518A"/>
    <w:rsid w:val="008A046D"/>
    <w:rsid w:val="008A72D1"/>
    <w:rsid w:val="008B1D7C"/>
    <w:rsid w:val="008C47CA"/>
    <w:rsid w:val="008C4D64"/>
    <w:rsid w:val="008D78EA"/>
    <w:rsid w:val="008E4F62"/>
    <w:rsid w:val="008E65D4"/>
    <w:rsid w:val="008E6D4F"/>
    <w:rsid w:val="008F37F8"/>
    <w:rsid w:val="009039E8"/>
    <w:rsid w:val="009063BB"/>
    <w:rsid w:val="009148E1"/>
    <w:rsid w:val="009162EB"/>
    <w:rsid w:val="009213D5"/>
    <w:rsid w:val="009553C6"/>
    <w:rsid w:val="00971993"/>
    <w:rsid w:val="00974672"/>
    <w:rsid w:val="00974A4B"/>
    <w:rsid w:val="00975829"/>
    <w:rsid w:val="00986A68"/>
    <w:rsid w:val="009877CB"/>
    <w:rsid w:val="009F2F85"/>
    <w:rsid w:val="00A06D2F"/>
    <w:rsid w:val="00A111BA"/>
    <w:rsid w:val="00A14FF7"/>
    <w:rsid w:val="00A229E2"/>
    <w:rsid w:val="00A327A0"/>
    <w:rsid w:val="00A74974"/>
    <w:rsid w:val="00A75B6C"/>
    <w:rsid w:val="00A87002"/>
    <w:rsid w:val="00A92914"/>
    <w:rsid w:val="00A96CB2"/>
    <w:rsid w:val="00A96E16"/>
    <w:rsid w:val="00AC1E49"/>
    <w:rsid w:val="00AC69AD"/>
    <w:rsid w:val="00AD022C"/>
    <w:rsid w:val="00AE7153"/>
    <w:rsid w:val="00AF4EE0"/>
    <w:rsid w:val="00AF5DD4"/>
    <w:rsid w:val="00AF6B88"/>
    <w:rsid w:val="00B02294"/>
    <w:rsid w:val="00B03288"/>
    <w:rsid w:val="00B061E6"/>
    <w:rsid w:val="00B12062"/>
    <w:rsid w:val="00B13DC2"/>
    <w:rsid w:val="00B25D0B"/>
    <w:rsid w:val="00B26F60"/>
    <w:rsid w:val="00B27105"/>
    <w:rsid w:val="00B30CA0"/>
    <w:rsid w:val="00B676BB"/>
    <w:rsid w:val="00B721DC"/>
    <w:rsid w:val="00B86014"/>
    <w:rsid w:val="00B92016"/>
    <w:rsid w:val="00B923BE"/>
    <w:rsid w:val="00BA1327"/>
    <w:rsid w:val="00BA2AC6"/>
    <w:rsid w:val="00BA68EF"/>
    <w:rsid w:val="00BB36D3"/>
    <w:rsid w:val="00BB3B8F"/>
    <w:rsid w:val="00BB527C"/>
    <w:rsid w:val="00BB61D2"/>
    <w:rsid w:val="00BD275B"/>
    <w:rsid w:val="00BE3C4E"/>
    <w:rsid w:val="00BE3CE6"/>
    <w:rsid w:val="00BF3141"/>
    <w:rsid w:val="00C12366"/>
    <w:rsid w:val="00C54DFB"/>
    <w:rsid w:val="00C55376"/>
    <w:rsid w:val="00C55896"/>
    <w:rsid w:val="00C74C9C"/>
    <w:rsid w:val="00C81401"/>
    <w:rsid w:val="00C81B18"/>
    <w:rsid w:val="00C876B7"/>
    <w:rsid w:val="00C91A0C"/>
    <w:rsid w:val="00CA5F9F"/>
    <w:rsid w:val="00CB6468"/>
    <w:rsid w:val="00CB7984"/>
    <w:rsid w:val="00CC288A"/>
    <w:rsid w:val="00CC666F"/>
    <w:rsid w:val="00CE1CB6"/>
    <w:rsid w:val="00CF467B"/>
    <w:rsid w:val="00D06A05"/>
    <w:rsid w:val="00D22BFB"/>
    <w:rsid w:val="00D22F45"/>
    <w:rsid w:val="00D249B9"/>
    <w:rsid w:val="00D2776D"/>
    <w:rsid w:val="00D27AFB"/>
    <w:rsid w:val="00D7299B"/>
    <w:rsid w:val="00D73E45"/>
    <w:rsid w:val="00D9158F"/>
    <w:rsid w:val="00DA0D02"/>
    <w:rsid w:val="00DB6EA1"/>
    <w:rsid w:val="00DD641A"/>
    <w:rsid w:val="00E12775"/>
    <w:rsid w:val="00E151D6"/>
    <w:rsid w:val="00E26E61"/>
    <w:rsid w:val="00E27B1B"/>
    <w:rsid w:val="00E30BFB"/>
    <w:rsid w:val="00E40A97"/>
    <w:rsid w:val="00E4547A"/>
    <w:rsid w:val="00E73173"/>
    <w:rsid w:val="00E77501"/>
    <w:rsid w:val="00E87FEF"/>
    <w:rsid w:val="00EB35BD"/>
    <w:rsid w:val="00EC0B90"/>
    <w:rsid w:val="00EC7959"/>
    <w:rsid w:val="00EE2035"/>
    <w:rsid w:val="00EE3AFB"/>
    <w:rsid w:val="00EF6AA9"/>
    <w:rsid w:val="00F30FF9"/>
    <w:rsid w:val="00F336C7"/>
    <w:rsid w:val="00F37352"/>
    <w:rsid w:val="00F40051"/>
    <w:rsid w:val="00F45FFC"/>
    <w:rsid w:val="00F829FD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13</Pages>
  <Words>4350</Words>
  <Characters>23491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Mayco Sartório</dc:creator>
  <cp:lastModifiedBy>Win10</cp:lastModifiedBy>
  <cp:revision>183</cp:revision>
  <cp:lastPrinted>2021-10-04T13:40:00Z</cp:lastPrinted>
  <dcterms:created xsi:type="dcterms:W3CDTF">2021-07-06T19:42:00Z</dcterms:created>
  <dcterms:modified xsi:type="dcterms:W3CDTF">2023-03-06T13:17:00Z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